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1EFB" w14:textId="3EFDEA82" w:rsidR="00511317" w:rsidRPr="00AD3AE1" w:rsidRDefault="00511317" w:rsidP="00337E1F">
      <w:pPr>
        <w:rPr>
          <w:rFonts w:asciiTheme="majorHAnsi" w:hAnsiTheme="majorHAnsi"/>
          <w:b/>
          <w:bCs/>
        </w:rPr>
      </w:pPr>
      <w:r w:rsidRPr="00AD3AE1">
        <w:rPr>
          <w:rFonts w:asciiTheme="majorHAnsi" w:hAnsiTheme="majorHAnsi"/>
          <w:b/>
          <w:bCs/>
        </w:rPr>
        <w:t>Licensing FAQ’s</w:t>
      </w:r>
    </w:p>
    <w:p w14:paraId="77D810C6" w14:textId="77777777" w:rsidR="00511317" w:rsidRPr="00AD3AE1" w:rsidRDefault="00511317" w:rsidP="00337E1F">
      <w:pPr>
        <w:rPr>
          <w:rFonts w:asciiTheme="majorHAnsi" w:hAnsiTheme="majorHAnsi"/>
          <w:b/>
          <w:bCs/>
        </w:rPr>
      </w:pPr>
    </w:p>
    <w:p w14:paraId="2111ACCF" w14:textId="37086428" w:rsidR="00337E1F" w:rsidRPr="00AD3AE1" w:rsidRDefault="00337E1F" w:rsidP="00337E1F">
      <w:pPr>
        <w:rPr>
          <w:rFonts w:asciiTheme="majorHAnsi" w:hAnsiTheme="majorHAnsi"/>
          <w:b/>
          <w:bCs/>
        </w:rPr>
      </w:pPr>
      <w:r w:rsidRPr="00AD3AE1">
        <w:rPr>
          <w:rFonts w:asciiTheme="majorHAnsi" w:hAnsiTheme="majorHAnsi"/>
          <w:b/>
          <w:bCs/>
        </w:rPr>
        <w:t>Medical equipment</w:t>
      </w:r>
    </w:p>
    <w:p w14:paraId="3E1F50EC" w14:textId="77777777" w:rsidR="00337E1F" w:rsidRPr="00AD3AE1" w:rsidRDefault="00337E1F" w:rsidP="00337E1F">
      <w:pPr>
        <w:rPr>
          <w:rFonts w:asciiTheme="majorHAnsi" w:hAnsiTheme="majorHAnsi"/>
        </w:rPr>
      </w:pPr>
      <w:r w:rsidRPr="00AD3AE1">
        <w:rPr>
          <w:rFonts w:asciiTheme="majorHAnsi" w:hAnsiTheme="majorHAnsi"/>
        </w:rPr>
        <w:t xml:space="preserve">Q) Can I use bedrails or a wheelchair seatbelt, or other medical equipment? </w:t>
      </w:r>
    </w:p>
    <w:p w14:paraId="527051C3" w14:textId="77777777" w:rsidR="00337E1F" w:rsidRPr="00AD3AE1" w:rsidRDefault="00337E1F" w:rsidP="00337E1F">
      <w:pPr>
        <w:rPr>
          <w:rFonts w:asciiTheme="majorHAnsi" w:hAnsiTheme="majorHAnsi"/>
        </w:rPr>
      </w:pPr>
      <w:r w:rsidRPr="00AD3AE1">
        <w:rPr>
          <w:rFonts w:asciiTheme="majorHAnsi" w:hAnsiTheme="majorHAnsi"/>
        </w:rPr>
        <w:t>A) Medical Equipment (WAC 388-76-10650)</w:t>
      </w:r>
    </w:p>
    <w:p w14:paraId="39FD927D" w14:textId="77777777" w:rsidR="00337E1F" w:rsidRPr="00AD3AE1" w:rsidRDefault="00337E1F" w:rsidP="00337E1F">
      <w:pPr>
        <w:rPr>
          <w:rFonts w:asciiTheme="majorHAnsi" w:hAnsiTheme="majorHAnsi"/>
        </w:rPr>
      </w:pPr>
      <w:r w:rsidRPr="00AD3AE1">
        <w:rPr>
          <w:rFonts w:asciiTheme="majorHAnsi" w:hAnsiTheme="majorHAnsi"/>
        </w:rPr>
        <w:t>The adult family home must not use a medical device with a known safety risk as a restraint or for staff convenience. Before a medical device with a known safety risk is used by a resident, the home must ensure an assessment has been completed that identifies the resident's need and ability to safely use the medical device;  provide the resident and his or her family or legal representative with information about the device's benefits and safety risks to enable them to make an informed decision about whether to use the device; ensure the resident's negotiated care plan includes how the resident will use the medical device; and ensure the medical device is properly installed.</w:t>
      </w:r>
    </w:p>
    <w:p w14:paraId="4FE9876C" w14:textId="77777777" w:rsidR="00337E1F" w:rsidRPr="00AD3AE1" w:rsidRDefault="00337E1F" w:rsidP="00337E1F">
      <w:pPr>
        <w:rPr>
          <w:rFonts w:asciiTheme="majorHAnsi" w:hAnsiTheme="majorHAnsi"/>
        </w:rPr>
      </w:pPr>
    </w:p>
    <w:p w14:paraId="4CFD150C" w14:textId="43697FBA" w:rsidR="00337E1F" w:rsidRPr="00AD3AE1" w:rsidRDefault="00337E1F" w:rsidP="00337E1F">
      <w:pPr>
        <w:rPr>
          <w:rFonts w:asciiTheme="majorHAnsi" w:hAnsiTheme="majorHAnsi"/>
        </w:rPr>
      </w:pPr>
      <w:r w:rsidRPr="00AD3AE1">
        <w:rPr>
          <w:rFonts w:asciiTheme="majorHAnsi" w:hAnsiTheme="majorHAnsi"/>
        </w:rPr>
        <w:t xml:space="preserve">For any type of wearable medical equipment, the above information plus a </w:t>
      </w:r>
      <w:r w:rsidR="008175DA" w:rsidRPr="00AD3AE1">
        <w:rPr>
          <w:rFonts w:asciiTheme="majorHAnsi" w:hAnsiTheme="majorHAnsi"/>
        </w:rPr>
        <w:t>doctor’s</w:t>
      </w:r>
      <w:r w:rsidRPr="00AD3AE1">
        <w:rPr>
          <w:rFonts w:asciiTheme="majorHAnsi" w:hAnsiTheme="majorHAnsi"/>
        </w:rPr>
        <w:t xml:space="preserve"> order/ therapist order is needed. This is for posey mitts, posey vest, posey bed, </w:t>
      </w:r>
      <w:r w:rsidR="008175DA" w:rsidRPr="00AD3AE1">
        <w:rPr>
          <w:rFonts w:asciiTheme="majorHAnsi" w:hAnsiTheme="majorHAnsi"/>
        </w:rPr>
        <w:t>seatbelts,</w:t>
      </w:r>
      <w:r w:rsidRPr="00AD3AE1">
        <w:rPr>
          <w:rFonts w:asciiTheme="majorHAnsi" w:hAnsiTheme="majorHAnsi"/>
        </w:rPr>
        <w:t xml:space="preserve"> or other similar medical equipment. </w:t>
      </w:r>
      <w:r w:rsidR="00AD3AE1">
        <w:rPr>
          <w:rFonts w:asciiTheme="majorHAnsi" w:hAnsiTheme="majorHAnsi"/>
        </w:rPr>
        <w:t xml:space="preserve">If a resident can’t remove it on their own, potentially that piece of equipment could be considered a restraint. </w:t>
      </w:r>
    </w:p>
    <w:p w14:paraId="241D4CE5" w14:textId="77777777" w:rsidR="00337E1F" w:rsidRPr="00AD3AE1" w:rsidRDefault="00337E1F" w:rsidP="00337E1F">
      <w:pPr>
        <w:rPr>
          <w:rFonts w:asciiTheme="majorHAnsi" w:hAnsiTheme="majorHAnsi"/>
        </w:rPr>
      </w:pPr>
    </w:p>
    <w:p w14:paraId="131BB760" w14:textId="77777777" w:rsidR="00337E1F" w:rsidRPr="00AD3AE1" w:rsidRDefault="00337E1F" w:rsidP="00337E1F">
      <w:pPr>
        <w:rPr>
          <w:rFonts w:asciiTheme="majorHAnsi" w:hAnsiTheme="majorHAnsi"/>
        </w:rPr>
      </w:pPr>
      <w:r w:rsidRPr="00AD3AE1">
        <w:rPr>
          <w:rFonts w:asciiTheme="majorHAnsi" w:hAnsiTheme="majorHAnsi"/>
        </w:rPr>
        <w:t xml:space="preserve">Also document and keep any information that you received from the case manager regarding the equipment. </w:t>
      </w:r>
    </w:p>
    <w:p w14:paraId="29568A9C" w14:textId="77777777" w:rsidR="00337E1F" w:rsidRPr="00AD3AE1" w:rsidRDefault="00337E1F" w:rsidP="00337E1F">
      <w:pPr>
        <w:rPr>
          <w:rFonts w:asciiTheme="majorHAnsi" w:hAnsiTheme="majorHAnsi"/>
          <w:u w:val="single"/>
        </w:rPr>
      </w:pPr>
    </w:p>
    <w:p w14:paraId="78104701" w14:textId="77777777" w:rsidR="00337E1F" w:rsidRPr="00AD3AE1" w:rsidRDefault="00337E1F" w:rsidP="00337E1F">
      <w:pPr>
        <w:rPr>
          <w:rFonts w:asciiTheme="majorHAnsi" w:hAnsiTheme="majorHAnsi"/>
          <w:b/>
          <w:bCs/>
        </w:rPr>
      </w:pPr>
      <w:r w:rsidRPr="00AD3AE1">
        <w:rPr>
          <w:rFonts w:asciiTheme="majorHAnsi" w:hAnsiTheme="majorHAnsi"/>
          <w:b/>
          <w:bCs/>
        </w:rPr>
        <w:t>Space Heater</w:t>
      </w:r>
    </w:p>
    <w:p w14:paraId="2380E461" w14:textId="77777777" w:rsidR="00337E1F" w:rsidRPr="00AD3AE1" w:rsidRDefault="00337E1F" w:rsidP="00337E1F">
      <w:pPr>
        <w:rPr>
          <w:rFonts w:asciiTheme="majorHAnsi" w:hAnsiTheme="majorHAnsi"/>
        </w:rPr>
      </w:pPr>
      <w:r w:rsidRPr="00AD3AE1">
        <w:rPr>
          <w:rFonts w:asciiTheme="majorHAnsi" w:hAnsiTheme="majorHAnsi"/>
        </w:rPr>
        <w:t>Q) Can I use a space heater?</w:t>
      </w:r>
    </w:p>
    <w:p w14:paraId="22C63030" w14:textId="1148E25C" w:rsidR="00337E1F" w:rsidRPr="00AD3AE1" w:rsidRDefault="00337E1F" w:rsidP="00337E1F">
      <w:pPr>
        <w:rPr>
          <w:rFonts w:asciiTheme="majorHAnsi" w:hAnsiTheme="majorHAnsi"/>
        </w:rPr>
      </w:pPr>
      <w:r w:rsidRPr="00AD3AE1">
        <w:rPr>
          <w:rFonts w:asciiTheme="majorHAnsi" w:hAnsiTheme="majorHAnsi"/>
        </w:rPr>
        <w:t>A) Space Heaters/fireplaces/Stoves (WAC) 388-76-10825)</w:t>
      </w:r>
    </w:p>
    <w:p w14:paraId="2FF772C2" w14:textId="77777777" w:rsidR="000A4CAB" w:rsidRPr="00AD3AE1" w:rsidRDefault="000A4CAB" w:rsidP="000A4CAB">
      <w:pPr>
        <w:shd w:val="clear" w:color="auto" w:fill="FFFFFF"/>
        <w:rPr>
          <w:rFonts w:asciiTheme="majorHAnsi" w:eastAsia="Times New Roman" w:hAnsiTheme="majorHAnsi" w:cstheme="minorHAnsi"/>
          <w:color w:val="000000"/>
        </w:rPr>
      </w:pPr>
      <w:r w:rsidRPr="00AD3AE1">
        <w:rPr>
          <w:rFonts w:asciiTheme="majorHAnsi" w:eastAsia="Times New Roman" w:hAnsiTheme="majorHAnsi" w:cstheme="minorHAnsi"/>
          <w:color w:val="000000"/>
        </w:rPr>
        <w:t>(1) The adult family home must not use oil, gas, kerosene, or electric space heaters that have not been certified by an organization listed as a nationally recognized testing laboratory.</w:t>
      </w:r>
    </w:p>
    <w:p w14:paraId="42FA56B1" w14:textId="77777777" w:rsidR="000A4CAB" w:rsidRPr="00AD3AE1" w:rsidRDefault="000A4CAB" w:rsidP="000A4CAB">
      <w:pPr>
        <w:shd w:val="clear" w:color="auto" w:fill="FFFFFF"/>
        <w:rPr>
          <w:rFonts w:asciiTheme="majorHAnsi" w:eastAsia="Times New Roman" w:hAnsiTheme="majorHAnsi" w:cstheme="minorHAnsi"/>
          <w:color w:val="000000"/>
        </w:rPr>
      </w:pPr>
      <w:r w:rsidRPr="00AD3AE1">
        <w:rPr>
          <w:rFonts w:asciiTheme="majorHAnsi" w:eastAsia="Times New Roman" w:hAnsiTheme="majorHAnsi" w:cstheme="minorHAnsi"/>
          <w:color w:val="000000"/>
        </w:rPr>
        <w:t>(2) The adult family home must ensure that stoves and heaters do not block resident, staff, or household member escape routes.</w:t>
      </w:r>
    </w:p>
    <w:p w14:paraId="18DC9274" w14:textId="77777777" w:rsidR="000A4CAB" w:rsidRPr="00AD3AE1" w:rsidRDefault="000A4CAB" w:rsidP="000A4CAB">
      <w:pPr>
        <w:shd w:val="clear" w:color="auto" w:fill="FFFFFF"/>
        <w:rPr>
          <w:rFonts w:asciiTheme="majorHAnsi" w:eastAsia="Times New Roman" w:hAnsiTheme="majorHAnsi" w:cstheme="minorHAnsi"/>
          <w:color w:val="000000"/>
        </w:rPr>
      </w:pPr>
      <w:r w:rsidRPr="00AD3AE1">
        <w:rPr>
          <w:rFonts w:asciiTheme="majorHAnsi" w:eastAsia="Times New Roman" w:hAnsiTheme="majorHAnsi" w:cstheme="minorHAnsi"/>
          <w:color w:val="000000"/>
        </w:rPr>
        <w:t>(3) The adult family home must ensure that fireplaces, stoves, or heaters that get hot to the touch when in use have a stable, flame-resistant barrier that does not get hot to the touch and that prevents any contact by residents or any flammable materials.</w:t>
      </w:r>
    </w:p>
    <w:p w14:paraId="3BFB0BB3" w14:textId="28FCA952" w:rsidR="00697709" w:rsidRPr="00AD3AE1" w:rsidRDefault="00697709" w:rsidP="00337E1F">
      <w:pPr>
        <w:rPr>
          <w:rFonts w:asciiTheme="majorHAnsi" w:hAnsiTheme="majorHAnsi"/>
        </w:rPr>
      </w:pPr>
    </w:p>
    <w:p w14:paraId="2994C3C5" w14:textId="0053BCE3" w:rsidR="00C90038" w:rsidRPr="00AD3AE1" w:rsidRDefault="00C90038" w:rsidP="00337E1F">
      <w:pPr>
        <w:rPr>
          <w:rFonts w:asciiTheme="majorHAnsi" w:hAnsiTheme="majorHAnsi"/>
          <w:b/>
          <w:bCs/>
        </w:rPr>
      </w:pPr>
      <w:r w:rsidRPr="00AD3AE1">
        <w:rPr>
          <w:rFonts w:asciiTheme="majorHAnsi" w:hAnsiTheme="majorHAnsi"/>
          <w:b/>
          <w:bCs/>
        </w:rPr>
        <w:t>Examples of UL stickers</w:t>
      </w:r>
    </w:p>
    <w:p w14:paraId="18D2A2D7" w14:textId="77777777" w:rsidR="000A4CAB" w:rsidRPr="00AD3AE1" w:rsidRDefault="00697709" w:rsidP="00337E1F">
      <w:pPr>
        <w:rPr>
          <w:rFonts w:asciiTheme="majorHAnsi" w:hAnsiTheme="majorHAnsi"/>
        </w:rPr>
      </w:pPr>
      <w:r w:rsidRPr="00AD3AE1">
        <w:rPr>
          <w:rFonts w:asciiTheme="majorHAnsi" w:hAnsiTheme="majorHAnsi"/>
          <w:noProof/>
        </w:rPr>
        <w:drawing>
          <wp:inline distT="0" distB="0" distL="0" distR="0" wp14:anchorId="0D741F38" wp14:editId="0932E68D">
            <wp:extent cx="838200" cy="8382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C90038" w:rsidRPr="00AD3AE1">
        <w:rPr>
          <w:rFonts w:asciiTheme="majorHAnsi" w:hAnsiTheme="majorHAnsi"/>
          <w:noProof/>
        </w:rPr>
        <w:drawing>
          <wp:inline distT="0" distB="0" distL="0" distR="0" wp14:anchorId="35790D00" wp14:editId="7B4DEF6A">
            <wp:extent cx="1306847" cy="866330"/>
            <wp:effectExtent l="0" t="0" r="7620" b="0"/>
            <wp:docPr id="7" name="Picture 7" descr="UL Approved Labels - UL Certification Labels | Label-Aid System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 Approved Labels - UL Certification Labels | Label-Aid Systems, I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318" cy="881226"/>
                    </a:xfrm>
                    <a:prstGeom prst="rect">
                      <a:avLst/>
                    </a:prstGeom>
                    <a:noFill/>
                    <a:ln>
                      <a:noFill/>
                    </a:ln>
                  </pic:spPr>
                </pic:pic>
              </a:graphicData>
            </a:graphic>
          </wp:inline>
        </w:drawing>
      </w:r>
      <w:r w:rsidR="000A4CAB" w:rsidRPr="00AD3AE1">
        <w:rPr>
          <w:rFonts w:asciiTheme="majorHAnsi" w:hAnsiTheme="majorHAnsi"/>
        </w:rPr>
        <w:t xml:space="preserve"> </w:t>
      </w:r>
    </w:p>
    <w:p w14:paraId="7FF879B7" w14:textId="4A9E5C70" w:rsidR="00697709" w:rsidRPr="00AD3AE1" w:rsidRDefault="00F11D07" w:rsidP="00337E1F">
      <w:pPr>
        <w:rPr>
          <w:rFonts w:asciiTheme="majorHAnsi" w:hAnsiTheme="majorHAnsi"/>
        </w:rPr>
      </w:pPr>
      <w:hyperlink r:id="rId10" w:history="1">
        <w:r w:rsidR="000A4CAB" w:rsidRPr="00AD3AE1">
          <w:rPr>
            <w:rStyle w:val="Hyperlink"/>
            <w:rFonts w:asciiTheme="majorHAnsi" w:hAnsiTheme="majorHAnsi"/>
          </w:rPr>
          <w:t>https://www.osha.gov/nationally-recognized-testing-laboratory-program/current-list-of-nrtls</w:t>
        </w:r>
      </w:hyperlink>
    </w:p>
    <w:p w14:paraId="7E9F5F79" w14:textId="77777777" w:rsidR="000A4CAB" w:rsidRPr="00AD3AE1" w:rsidRDefault="000A4CAB" w:rsidP="00337E1F">
      <w:pPr>
        <w:rPr>
          <w:rFonts w:asciiTheme="majorHAnsi" w:hAnsiTheme="majorHAnsi"/>
        </w:rPr>
      </w:pPr>
    </w:p>
    <w:p w14:paraId="54BD81A3" w14:textId="77777777" w:rsidR="00337E1F" w:rsidRPr="00AD3AE1" w:rsidRDefault="00337E1F" w:rsidP="00337E1F">
      <w:pPr>
        <w:rPr>
          <w:rFonts w:asciiTheme="majorHAnsi" w:hAnsiTheme="majorHAnsi"/>
          <w:b/>
          <w:bCs/>
        </w:rPr>
      </w:pPr>
      <w:r w:rsidRPr="00AD3AE1">
        <w:rPr>
          <w:rFonts w:asciiTheme="majorHAnsi" w:hAnsiTheme="majorHAnsi"/>
          <w:b/>
          <w:bCs/>
        </w:rPr>
        <w:t>Baseboard heaters and Wall Heaters</w:t>
      </w:r>
    </w:p>
    <w:p w14:paraId="05231C57" w14:textId="77777777" w:rsidR="00337E1F" w:rsidRPr="00AD3AE1" w:rsidRDefault="00337E1F" w:rsidP="00337E1F">
      <w:pPr>
        <w:rPr>
          <w:rFonts w:asciiTheme="majorHAnsi" w:hAnsiTheme="majorHAnsi"/>
        </w:rPr>
      </w:pPr>
      <w:r w:rsidRPr="00AD3AE1">
        <w:rPr>
          <w:rFonts w:asciiTheme="majorHAnsi" w:hAnsiTheme="majorHAnsi"/>
        </w:rPr>
        <w:t xml:space="preserve">Follow all stickers on the wall and baseboard heaters. Most warn to keep furniture, curtains, boxes other items 3 to 5 feet away. Follow the warning sticker on the equipment. </w:t>
      </w:r>
    </w:p>
    <w:p w14:paraId="2F02EC14" w14:textId="77777777" w:rsidR="00337E1F" w:rsidRPr="00AD3AE1" w:rsidRDefault="00337E1F" w:rsidP="00337E1F">
      <w:pPr>
        <w:rPr>
          <w:rFonts w:asciiTheme="majorHAnsi" w:hAnsiTheme="majorHAnsi"/>
          <w:b/>
          <w:bCs/>
        </w:rPr>
      </w:pPr>
      <w:r w:rsidRPr="00AD3AE1">
        <w:rPr>
          <w:rFonts w:asciiTheme="majorHAnsi" w:hAnsiTheme="majorHAnsi"/>
          <w:b/>
          <w:bCs/>
        </w:rPr>
        <w:t>Electric Blanket/Heat Pad/Water Bottle</w:t>
      </w:r>
    </w:p>
    <w:p w14:paraId="1D4A400F" w14:textId="4155DF68" w:rsidR="000A4CAB" w:rsidRPr="00AD3AE1" w:rsidRDefault="00337E1F" w:rsidP="00337E1F">
      <w:pPr>
        <w:rPr>
          <w:rFonts w:asciiTheme="majorHAnsi" w:hAnsiTheme="majorHAnsi"/>
        </w:rPr>
      </w:pPr>
      <w:r w:rsidRPr="00AD3AE1">
        <w:rPr>
          <w:rFonts w:asciiTheme="majorHAnsi" w:hAnsiTheme="majorHAnsi"/>
        </w:rPr>
        <w:t xml:space="preserve">Electric blankets can only be used if the resident is cognitive and has the ability to remove the blanket if it gets hot to prevent the skin being burned. The resident can’t be </w:t>
      </w:r>
      <w:r w:rsidR="00697709" w:rsidRPr="00AD3AE1">
        <w:rPr>
          <w:rFonts w:asciiTheme="majorHAnsi" w:hAnsiTheme="majorHAnsi"/>
        </w:rPr>
        <w:t xml:space="preserve">have any cognitive impairments, be </w:t>
      </w:r>
      <w:r w:rsidRPr="00AD3AE1">
        <w:rPr>
          <w:rFonts w:asciiTheme="majorHAnsi" w:hAnsiTheme="majorHAnsi"/>
        </w:rPr>
        <w:t xml:space="preserve">paralyzed, use blood thinners, have neuropathy, or have any skin issues. </w:t>
      </w:r>
    </w:p>
    <w:p w14:paraId="238FB91F" w14:textId="2F424B29" w:rsidR="00337E1F" w:rsidRPr="00AD3AE1" w:rsidRDefault="00337E1F" w:rsidP="00337E1F">
      <w:pPr>
        <w:rPr>
          <w:rFonts w:asciiTheme="majorHAnsi" w:hAnsiTheme="majorHAnsi"/>
          <w:b/>
          <w:bCs/>
        </w:rPr>
      </w:pPr>
      <w:r w:rsidRPr="00AD3AE1">
        <w:rPr>
          <w:rFonts w:asciiTheme="majorHAnsi" w:hAnsiTheme="majorHAnsi"/>
          <w:b/>
          <w:bCs/>
        </w:rPr>
        <w:lastRenderedPageBreak/>
        <w:t>Annual Licensing Fee</w:t>
      </w:r>
    </w:p>
    <w:p w14:paraId="5BBDB29A" w14:textId="77777777" w:rsidR="00337E1F" w:rsidRPr="00AD3AE1" w:rsidRDefault="00337E1F" w:rsidP="00337E1F">
      <w:pPr>
        <w:rPr>
          <w:rFonts w:asciiTheme="majorHAnsi" w:hAnsiTheme="majorHAnsi"/>
        </w:rPr>
      </w:pPr>
      <w:r w:rsidRPr="00AD3AE1">
        <w:rPr>
          <w:rFonts w:asciiTheme="majorHAnsi" w:hAnsiTheme="majorHAnsi"/>
        </w:rPr>
        <w:t>Q) When is my annual licensing fee due? Can I pay it online or by phone?</w:t>
      </w:r>
    </w:p>
    <w:p w14:paraId="17799DB5" w14:textId="77777777" w:rsidR="00337E1F" w:rsidRPr="00AD3AE1" w:rsidRDefault="00337E1F" w:rsidP="00337E1F">
      <w:pPr>
        <w:rPr>
          <w:rFonts w:asciiTheme="majorHAnsi" w:hAnsiTheme="majorHAnsi"/>
        </w:rPr>
      </w:pPr>
      <w:r w:rsidRPr="00AD3AE1">
        <w:rPr>
          <w:rFonts w:asciiTheme="majorHAnsi" w:hAnsiTheme="majorHAnsi"/>
        </w:rPr>
        <w:t>A) Licensing Fees (WAC 388-76-10025). The adult family home must pay the license fee that is established in the state's operating budget, as described in RCW </w:t>
      </w:r>
      <w:hyperlink r:id="rId11" w:history="1">
        <w:r w:rsidRPr="00AD3AE1">
          <w:rPr>
            <w:rStyle w:val="Hyperlink"/>
            <w:rFonts w:asciiTheme="majorHAnsi" w:hAnsiTheme="majorHAnsi"/>
          </w:rPr>
          <w:t>70.128.060</w:t>
        </w:r>
      </w:hyperlink>
      <w:r w:rsidRPr="00AD3AE1">
        <w:rPr>
          <w:rFonts w:asciiTheme="majorHAnsi" w:hAnsiTheme="majorHAnsi"/>
        </w:rPr>
        <w:t>.  Each year, the home's annual license fee is due during the same month in which the home was initially licensed. For example, if the home was licensed in June, 2010, then the annual licensing fee will be due in June of each year.  The home must ensure that the department receives the annual license fee when it is due. If the home does not pay the fee when it is due, the department will impose remedies.</w:t>
      </w:r>
    </w:p>
    <w:p w14:paraId="2FA3E17A" w14:textId="77777777" w:rsidR="00337E1F" w:rsidRPr="00AD3AE1" w:rsidRDefault="00337E1F" w:rsidP="00337E1F">
      <w:pPr>
        <w:rPr>
          <w:rFonts w:asciiTheme="majorHAnsi" w:hAnsiTheme="majorHAnsi"/>
        </w:rPr>
      </w:pPr>
    </w:p>
    <w:p w14:paraId="3D0DCC0E" w14:textId="77777777" w:rsidR="00337E1F" w:rsidRPr="00AD3AE1" w:rsidRDefault="00337E1F" w:rsidP="00337E1F">
      <w:pPr>
        <w:rPr>
          <w:rFonts w:asciiTheme="majorHAnsi" w:hAnsiTheme="majorHAnsi"/>
        </w:rPr>
      </w:pPr>
      <w:r w:rsidRPr="00AD3AE1">
        <w:rPr>
          <w:rFonts w:asciiTheme="majorHAnsi" w:hAnsiTheme="majorHAnsi"/>
        </w:rPr>
        <w:t>Licensing fees cannot be paid online or by telephone. The licensing fee cannot be paid by debit or credit cards. The licensing fee can only be paid by personal/business/ cashier’s check, or money order. You must write the words “Annual Fee” and your AFH license number on your check to ensure proper posting to your account.</w:t>
      </w:r>
    </w:p>
    <w:p w14:paraId="5559FA8B" w14:textId="77777777" w:rsidR="00337E1F" w:rsidRPr="00AD3AE1" w:rsidRDefault="00337E1F" w:rsidP="00337E1F">
      <w:pPr>
        <w:rPr>
          <w:rFonts w:asciiTheme="majorHAnsi" w:hAnsiTheme="majorHAnsi"/>
        </w:rPr>
      </w:pPr>
      <w:r w:rsidRPr="00AD3AE1">
        <w:rPr>
          <w:rFonts w:asciiTheme="majorHAnsi" w:hAnsiTheme="majorHAnsi"/>
        </w:rPr>
        <w:t>You must pay your licensing fees by mail, by the 15</w:t>
      </w:r>
      <w:r w:rsidRPr="00AD3AE1">
        <w:rPr>
          <w:rFonts w:asciiTheme="majorHAnsi" w:hAnsiTheme="majorHAnsi"/>
          <w:vertAlign w:val="superscript"/>
        </w:rPr>
        <w:t>th</w:t>
      </w:r>
      <w:r w:rsidRPr="00AD3AE1">
        <w:rPr>
          <w:rFonts w:asciiTheme="majorHAnsi" w:hAnsiTheme="majorHAnsi"/>
        </w:rPr>
        <w:t xml:space="preserve"> of the month you were licensed. Checks can be sent to:</w:t>
      </w:r>
    </w:p>
    <w:p w14:paraId="77ED8EF1" w14:textId="77777777" w:rsidR="00337E1F" w:rsidRPr="00AD3AE1" w:rsidRDefault="00337E1F" w:rsidP="00337E1F">
      <w:pPr>
        <w:rPr>
          <w:rFonts w:asciiTheme="majorHAnsi" w:hAnsiTheme="majorHAnsi"/>
        </w:rPr>
      </w:pPr>
      <w:r w:rsidRPr="00AD3AE1">
        <w:rPr>
          <w:rFonts w:asciiTheme="majorHAnsi" w:hAnsiTheme="majorHAnsi"/>
        </w:rPr>
        <w:tab/>
        <w:t>DSHS</w:t>
      </w:r>
    </w:p>
    <w:p w14:paraId="6F91BBB1" w14:textId="77777777" w:rsidR="00337E1F" w:rsidRPr="00AD3AE1" w:rsidRDefault="00337E1F" w:rsidP="00337E1F">
      <w:pPr>
        <w:rPr>
          <w:rFonts w:asciiTheme="majorHAnsi" w:hAnsiTheme="majorHAnsi"/>
        </w:rPr>
      </w:pPr>
      <w:r w:rsidRPr="00AD3AE1">
        <w:rPr>
          <w:rFonts w:asciiTheme="majorHAnsi" w:hAnsiTheme="majorHAnsi"/>
        </w:rPr>
        <w:tab/>
        <w:t>Office of Financial Recovery</w:t>
      </w:r>
    </w:p>
    <w:p w14:paraId="44DA7727" w14:textId="77777777" w:rsidR="00337E1F" w:rsidRPr="00AD3AE1" w:rsidRDefault="00337E1F" w:rsidP="00337E1F">
      <w:pPr>
        <w:rPr>
          <w:rFonts w:asciiTheme="majorHAnsi" w:hAnsiTheme="majorHAnsi"/>
        </w:rPr>
      </w:pPr>
      <w:r w:rsidRPr="00AD3AE1">
        <w:rPr>
          <w:rFonts w:asciiTheme="majorHAnsi" w:hAnsiTheme="majorHAnsi"/>
        </w:rPr>
        <w:tab/>
        <w:t>P.O. Box 9501</w:t>
      </w:r>
    </w:p>
    <w:p w14:paraId="0C19E4C5" w14:textId="77777777" w:rsidR="00337E1F" w:rsidRPr="00AD3AE1" w:rsidRDefault="00337E1F" w:rsidP="00337E1F">
      <w:pPr>
        <w:rPr>
          <w:rFonts w:asciiTheme="majorHAnsi" w:hAnsiTheme="majorHAnsi"/>
        </w:rPr>
      </w:pPr>
      <w:r w:rsidRPr="00AD3AE1">
        <w:rPr>
          <w:rFonts w:asciiTheme="majorHAnsi" w:hAnsiTheme="majorHAnsi"/>
        </w:rPr>
        <w:tab/>
        <w:t>Olympia, WA 98507-9501</w:t>
      </w:r>
    </w:p>
    <w:p w14:paraId="586A05A0" w14:textId="77777777" w:rsidR="00337E1F" w:rsidRPr="00AD3AE1" w:rsidRDefault="00337E1F" w:rsidP="00337E1F">
      <w:pPr>
        <w:rPr>
          <w:rFonts w:asciiTheme="majorHAnsi" w:hAnsiTheme="majorHAnsi"/>
        </w:rPr>
      </w:pPr>
    </w:p>
    <w:p w14:paraId="76669D78" w14:textId="77777777" w:rsidR="00337E1F" w:rsidRPr="00AD3AE1" w:rsidRDefault="00337E1F" w:rsidP="00337E1F">
      <w:pPr>
        <w:rPr>
          <w:rFonts w:asciiTheme="majorHAnsi" w:hAnsiTheme="majorHAnsi"/>
          <w:b/>
          <w:bCs/>
        </w:rPr>
      </w:pPr>
      <w:r w:rsidRPr="00AD3AE1">
        <w:rPr>
          <w:rFonts w:asciiTheme="majorHAnsi" w:hAnsiTheme="majorHAnsi"/>
          <w:b/>
          <w:bCs/>
        </w:rPr>
        <w:t>Hand Sanitizer/Hand Soap</w:t>
      </w:r>
    </w:p>
    <w:p w14:paraId="59B3F655" w14:textId="77777777" w:rsidR="00337E1F" w:rsidRPr="00AD3AE1" w:rsidRDefault="00337E1F" w:rsidP="00337E1F">
      <w:pPr>
        <w:rPr>
          <w:rFonts w:asciiTheme="majorHAnsi" w:hAnsiTheme="majorHAnsi" w:cstheme="minorHAnsi"/>
        </w:rPr>
      </w:pPr>
      <w:r w:rsidRPr="00AD3AE1">
        <w:rPr>
          <w:rFonts w:asciiTheme="majorHAnsi" w:hAnsiTheme="majorHAnsi"/>
        </w:rPr>
        <w:t xml:space="preserve">Q) </w:t>
      </w:r>
      <w:r w:rsidRPr="00AD3AE1">
        <w:rPr>
          <w:rFonts w:asciiTheme="majorHAnsi" w:hAnsiTheme="majorHAnsi" w:cstheme="minorHAnsi"/>
        </w:rPr>
        <w:t>Can I keep hand sanitizer and soap out?</w:t>
      </w:r>
    </w:p>
    <w:p w14:paraId="2F815667" w14:textId="77777777" w:rsidR="00F66BE4" w:rsidRPr="00AD3AE1" w:rsidRDefault="00337E1F" w:rsidP="00337E1F">
      <w:pPr>
        <w:rPr>
          <w:rFonts w:asciiTheme="majorHAnsi" w:hAnsiTheme="majorHAnsi" w:cstheme="minorHAnsi"/>
        </w:rPr>
      </w:pPr>
      <w:r w:rsidRPr="00AD3AE1">
        <w:rPr>
          <w:rFonts w:asciiTheme="majorHAnsi" w:hAnsiTheme="majorHAnsi" w:cstheme="minorHAnsi"/>
        </w:rPr>
        <w:t>A)</w:t>
      </w:r>
      <w:r w:rsidR="00F66BE4" w:rsidRPr="00AD3AE1">
        <w:rPr>
          <w:rFonts w:asciiTheme="majorHAnsi" w:hAnsiTheme="majorHAnsi" w:cstheme="minorHAnsi"/>
        </w:rPr>
        <w:t xml:space="preserve"> Keep a</w:t>
      </w:r>
      <w:r w:rsidR="00F66BE4" w:rsidRPr="00AD3AE1">
        <w:rPr>
          <w:rFonts w:asciiTheme="majorHAnsi" w:hAnsiTheme="majorHAnsi" w:cstheme="minorHAnsi"/>
          <w:color w:val="000000"/>
          <w:shd w:val="clear" w:color="auto" w:fill="FFFFFF"/>
        </w:rPr>
        <w:t>ll toxic substances and hazardous materials in locked storage and in their original containers</w:t>
      </w:r>
      <w:r w:rsidR="00F66BE4" w:rsidRPr="00AD3AE1">
        <w:rPr>
          <w:rFonts w:asciiTheme="majorHAnsi" w:hAnsiTheme="majorHAnsi" w:cstheme="minorHAnsi"/>
        </w:rPr>
        <w:t xml:space="preserve"> </w:t>
      </w:r>
      <w:r w:rsidR="000E79FD" w:rsidRPr="00AD3AE1">
        <w:rPr>
          <w:rFonts w:asciiTheme="majorHAnsi" w:hAnsiTheme="majorHAnsi" w:cstheme="minorHAnsi"/>
        </w:rPr>
        <w:t>(WAC 388-76-10750 (</w:t>
      </w:r>
      <w:r w:rsidR="00F66BE4" w:rsidRPr="00AD3AE1">
        <w:rPr>
          <w:rFonts w:asciiTheme="majorHAnsi" w:hAnsiTheme="majorHAnsi" w:cstheme="minorHAnsi"/>
        </w:rPr>
        <w:t>7</w:t>
      </w:r>
      <w:r w:rsidR="000E79FD" w:rsidRPr="00AD3AE1">
        <w:rPr>
          <w:rFonts w:asciiTheme="majorHAnsi" w:hAnsiTheme="majorHAnsi" w:cstheme="minorHAnsi"/>
        </w:rPr>
        <w:t>))</w:t>
      </w:r>
      <w:r w:rsidR="00F66BE4" w:rsidRPr="00AD3AE1">
        <w:rPr>
          <w:rFonts w:asciiTheme="majorHAnsi" w:hAnsiTheme="majorHAnsi" w:cstheme="minorHAnsi"/>
        </w:rPr>
        <w:t>.</w:t>
      </w:r>
    </w:p>
    <w:p w14:paraId="1E99103C" w14:textId="1915ADF9" w:rsidR="00337E1F" w:rsidRPr="00AD3AE1" w:rsidRDefault="00F66BE4" w:rsidP="00337E1F">
      <w:pPr>
        <w:rPr>
          <w:rFonts w:asciiTheme="majorHAnsi" w:hAnsiTheme="majorHAnsi" w:cstheme="minorHAnsi"/>
          <w:color w:val="000000"/>
          <w:shd w:val="clear" w:color="auto" w:fill="FFFFFF"/>
        </w:rPr>
      </w:pPr>
      <w:r w:rsidRPr="00AD3AE1">
        <w:rPr>
          <w:rFonts w:asciiTheme="majorHAnsi" w:hAnsiTheme="majorHAnsi" w:cstheme="minorHAnsi"/>
          <w:color w:val="000000"/>
          <w:shd w:val="clear" w:color="auto" w:fill="FFFFFF"/>
        </w:rPr>
        <w:t xml:space="preserve">Grant a resident access to and use of toxic substances and hazardous materials only with direct supervision, unless the resident has been assessed as safe to use the substance or material without direct supervision and if the use is documented in the negotiated care plan </w:t>
      </w:r>
      <w:r w:rsidRPr="00AD3AE1">
        <w:rPr>
          <w:rFonts w:asciiTheme="majorHAnsi" w:hAnsiTheme="majorHAnsi" w:cstheme="minorHAnsi"/>
        </w:rPr>
        <w:t>(WAC 388-76-10750 (8))</w:t>
      </w:r>
      <w:r w:rsidRPr="00AD3AE1">
        <w:rPr>
          <w:rFonts w:asciiTheme="majorHAnsi" w:hAnsiTheme="majorHAnsi" w:cstheme="minorHAnsi"/>
          <w:color w:val="000000"/>
          <w:shd w:val="clear" w:color="auto" w:fill="FFFFFF"/>
        </w:rPr>
        <w:t>.</w:t>
      </w:r>
    </w:p>
    <w:p w14:paraId="6FBFDEF4" w14:textId="77777777" w:rsidR="00F66BE4" w:rsidRPr="00AD3AE1" w:rsidRDefault="00F66BE4" w:rsidP="00337E1F">
      <w:pPr>
        <w:rPr>
          <w:rFonts w:asciiTheme="majorHAnsi" w:hAnsiTheme="majorHAnsi"/>
        </w:rPr>
      </w:pPr>
    </w:p>
    <w:p w14:paraId="71108F6E" w14:textId="77777777" w:rsidR="00337E1F" w:rsidRPr="00AD3AE1" w:rsidRDefault="00337E1F" w:rsidP="00337E1F">
      <w:pPr>
        <w:rPr>
          <w:rFonts w:asciiTheme="majorHAnsi" w:hAnsiTheme="majorHAnsi"/>
          <w:b/>
          <w:bCs/>
        </w:rPr>
      </w:pPr>
      <w:r w:rsidRPr="00AD3AE1">
        <w:rPr>
          <w:rFonts w:asciiTheme="majorHAnsi" w:hAnsiTheme="majorHAnsi"/>
          <w:b/>
          <w:bCs/>
        </w:rPr>
        <w:t>NCP/Assessment Document</w:t>
      </w:r>
    </w:p>
    <w:p w14:paraId="235B73A9" w14:textId="77777777" w:rsidR="00337E1F" w:rsidRPr="00AD3AE1" w:rsidRDefault="00337E1F" w:rsidP="00337E1F">
      <w:pPr>
        <w:rPr>
          <w:rFonts w:asciiTheme="majorHAnsi" w:hAnsiTheme="majorHAnsi"/>
        </w:rPr>
      </w:pPr>
      <w:r w:rsidRPr="00AD3AE1">
        <w:rPr>
          <w:rFonts w:asciiTheme="majorHAnsi" w:hAnsiTheme="majorHAnsi"/>
        </w:rPr>
        <w:t>Q) Can my AFH use a Negotiated Care Plan/ Assessment document (as one document)?</w:t>
      </w:r>
    </w:p>
    <w:p w14:paraId="0670E840" w14:textId="69AE7FC6" w:rsidR="00337E1F" w:rsidRPr="00AD3AE1" w:rsidRDefault="00337E1F" w:rsidP="00337E1F">
      <w:pPr>
        <w:rPr>
          <w:rFonts w:asciiTheme="majorHAnsi" w:hAnsiTheme="majorHAnsi"/>
        </w:rPr>
      </w:pPr>
      <w:r w:rsidRPr="00AD3AE1">
        <w:rPr>
          <w:rFonts w:asciiTheme="majorHAnsi" w:hAnsiTheme="majorHAnsi"/>
        </w:rPr>
        <w:t>A) Yes</w:t>
      </w:r>
      <w:r w:rsidR="00697709" w:rsidRPr="00AD3AE1">
        <w:rPr>
          <w:rFonts w:asciiTheme="majorHAnsi" w:hAnsiTheme="majorHAnsi"/>
        </w:rPr>
        <w:t>. The mixed NCP/Assessment is appropriate to use.</w:t>
      </w:r>
    </w:p>
    <w:p w14:paraId="348A8829" w14:textId="77777777" w:rsidR="00337E1F" w:rsidRPr="00AD3AE1" w:rsidRDefault="00337E1F" w:rsidP="00337E1F">
      <w:pPr>
        <w:rPr>
          <w:rFonts w:asciiTheme="majorHAnsi" w:hAnsiTheme="majorHAnsi"/>
        </w:rPr>
      </w:pPr>
    </w:p>
    <w:p w14:paraId="41966D7A" w14:textId="77777777" w:rsidR="00337E1F" w:rsidRPr="00AD3AE1" w:rsidRDefault="00337E1F" w:rsidP="00337E1F">
      <w:pPr>
        <w:rPr>
          <w:rFonts w:asciiTheme="majorHAnsi" w:hAnsiTheme="majorHAnsi"/>
          <w:b/>
          <w:bCs/>
        </w:rPr>
      </w:pPr>
      <w:r w:rsidRPr="00AD3AE1">
        <w:rPr>
          <w:rFonts w:asciiTheme="majorHAnsi" w:hAnsiTheme="majorHAnsi"/>
          <w:b/>
          <w:bCs/>
        </w:rPr>
        <w:t>Rabies Vaccination</w:t>
      </w:r>
    </w:p>
    <w:p w14:paraId="42F2C054" w14:textId="77777777" w:rsidR="00337E1F" w:rsidRPr="00AD3AE1" w:rsidRDefault="00337E1F" w:rsidP="00337E1F">
      <w:pPr>
        <w:rPr>
          <w:rFonts w:asciiTheme="majorHAnsi" w:hAnsiTheme="majorHAnsi"/>
        </w:rPr>
      </w:pPr>
      <w:r w:rsidRPr="00AD3AE1">
        <w:rPr>
          <w:rFonts w:asciiTheme="majorHAnsi" w:hAnsiTheme="majorHAnsi"/>
        </w:rPr>
        <w:t xml:space="preserve">Q) What documentation do I need for Indoor and outdoor pets? </w:t>
      </w:r>
    </w:p>
    <w:p w14:paraId="4C9EFC76" w14:textId="0BC4E49E" w:rsidR="00697709" w:rsidRPr="00AD3AE1" w:rsidRDefault="00337E1F" w:rsidP="00697709">
      <w:pPr>
        <w:rPr>
          <w:rFonts w:asciiTheme="majorHAnsi" w:hAnsiTheme="majorHAnsi"/>
        </w:rPr>
      </w:pPr>
      <w:r w:rsidRPr="00AD3AE1">
        <w:rPr>
          <w:rFonts w:asciiTheme="majorHAnsi" w:hAnsiTheme="majorHAnsi"/>
        </w:rPr>
        <w:t>A) All indoor and outdoor cats and dogs will need rabies vaccinations on site.</w:t>
      </w:r>
      <w:r w:rsidR="00697709" w:rsidRPr="00AD3AE1">
        <w:rPr>
          <w:rFonts w:asciiTheme="majorHAnsi" w:hAnsiTheme="majorHAnsi"/>
        </w:rPr>
        <w:t xml:space="preserve"> (WAC 388-76-10230)</w:t>
      </w:r>
    </w:p>
    <w:p w14:paraId="44284F85" w14:textId="1B8335C7" w:rsidR="00337E1F" w:rsidRPr="00AD3AE1" w:rsidRDefault="00337E1F" w:rsidP="00337E1F">
      <w:pPr>
        <w:rPr>
          <w:rFonts w:asciiTheme="majorHAnsi" w:hAnsiTheme="majorHAnsi"/>
        </w:rPr>
      </w:pPr>
      <w:r w:rsidRPr="00AD3AE1">
        <w:rPr>
          <w:rFonts w:asciiTheme="majorHAnsi" w:hAnsiTheme="majorHAnsi"/>
        </w:rPr>
        <w:t>The same for visiting cats or dogs.</w:t>
      </w:r>
      <w:r w:rsidR="001142DC" w:rsidRPr="00AD3AE1">
        <w:rPr>
          <w:rFonts w:asciiTheme="majorHAnsi" w:hAnsiTheme="majorHAnsi"/>
        </w:rPr>
        <w:t xml:space="preserve"> You will also need to ensure the animal has a suitable temperament. </w:t>
      </w:r>
      <w:r w:rsidRPr="00AD3AE1">
        <w:rPr>
          <w:rFonts w:asciiTheme="majorHAnsi" w:hAnsiTheme="majorHAnsi"/>
        </w:rPr>
        <w:t xml:space="preserve"> If you have birds/ferrets etc. they will need any type of vaccines/health records that indicate the animal is in good health. </w:t>
      </w:r>
    </w:p>
    <w:p w14:paraId="13B2C57F" w14:textId="77777777" w:rsidR="00697709" w:rsidRPr="00AD3AE1" w:rsidRDefault="00697709" w:rsidP="00337E1F">
      <w:pPr>
        <w:rPr>
          <w:rFonts w:asciiTheme="majorHAnsi" w:hAnsiTheme="majorHAnsi"/>
        </w:rPr>
      </w:pPr>
    </w:p>
    <w:p w14:paraId="597F898A" w14:textId="0F93999E" w:rsidR="00337E1F" w:rsidRPr="00AD3AE1" w:rsidRDefault="00337E1F" w:rsidP="00337E1F">
      <w:pPr>
        <w:rPr>
          <w:rFonts w:asciiTheme="majorHAnsi" w:hAnsiTheme="majorHAnsi"/>
          <w:b/>
          <w:bCs/>
        </w:rPr>
      </w:pPr>
      <w:r w:rsidRPr="00AD3AE1">
        <w:rPr>
          <w:rFonts w:asciiTheme="majorHAnsi" w:hAnsiTheme="majorHAnsi"/>
          <w:b/>
          <w:bCs/>
        </w:rPr>
        <w:t>Licensing Hours vs Investigating Hours</w:t>
      </w:r>
    </w:p>
    <w:p w14:paraId="0CCC6660" w14:textId="77777777" w:rsidR="00337E1F" w:rsidRPr="00AD3AE1" w:rsidRDefault="00337E1F" w:rsidP="00337E1F">
      <w:pPr>
        <w:rPr>
          <w:rFonts w:asciiTheme="majorHAnsi" w:hAnsiTheme="majorHAnsi"/>
        </w:rPr>
      </w:pPr>
      <w:r w:rsidRPr="00AD3AE1">
        <w:rPr>
          <w:rFonts w:asciiTheme="majorHAnsi" w:hAnsiTheme="majorHAnsi"/>
        </w:rPr>
        <w:t xml:space="preserve">Q) When does a licensing visit occur? What about investigations? </w:t>
      </w:r>
    </w:p>
    <w:p w14:paraId="1880324A" w14:textId="77777777" w:rsidR="00337E1F" w:rsidRPr="00AD3AE1" w:rsidRDefault="00337E1F" w:rsidP="00337E1F">
      <w:pPr>
        <w:rPr>
          <w:rFonts w:asciiTheme="majorHAnsi" w:hAnsiTheme="majorHAnsi"/>
        </w:rPr>
      </w:pPr>
      <w:r w:rsidRPr="00AD3AE1">
        <w:rPr>
          <w:rFonts w:asciiTheme="majorHAnsi" w:hAnsiTheme="majorHAnsi"/>
        </w:rPr>
        <w:t>A) AFH licensing is usually completed Monday through Friday 8AM to 5PM. Investigations from RCS can occur anytime, any day. Often monitoring visits and other visits related to investigations can happen on holidays and weekends. This is usually related to a serious care issue/staff issue.</w:t>
      </w:r>
    </w:p>
    <w:p w14:paraId="09160A51" w14:textId="77777777" w:rsidR="00337E1F" w:rsidRPr="00AD3AE1" w:rsidRDefault="00337E1F" w:rsidP="00337E1F">
      <w:pPr>
        <w:rPr>
          <w:rFonts w:asciiTheme="majorHAnsi" w:hAnsiTheme="majorHAnsi"/>
        </w:rPr>
      </w:pPr>
    </w:p>
    <w:p w14:paraId="2D967934" w14:textId="37C260F2" w:rsidR="00337E1F" w:rsidRPr="00AD3AE1" w:rsidRDefault="00337E1F" w:rsidP="00337E1F">
      <w:pPr>
        <w:rPr>
          <w:rFonts w:asciiTheme="majorHAnsi" w:hAnsiTheme="majorHAnsi"/>
        </w:rPr>
      </w:pPr>
      <w:r w:rsidRPr="00AD3AE1">
        <w:rPr>
          <w:rFonts w:asciiTheme="majorHAnsi" w:hAnsiTheme="majorHAnsi"/>
        </w:rPr>
        <w:lastRenderedPageBreak/>
        <w:t xml:space="preserve">APS investigations typically occur Monday through Friday 8AM -5PM, but in emergent situations can occur in evening and weekend hours. </w:t>
      </w:r>
    </w:p>
    <w:p w14:paraId="370DE720" w14:textId="77777777" w:rsidR="00F66BE4" w:rsidRPr="00AD3AE1" w:rsidRDefault="00F66BE4" w:rsidP="00337E1F">
      <w:pPr>
        <w:rPr>
          <w:rFonts w:asciiTheme="majorHAnsi" w:hAnsiTheme="majorHAnsi"/>
        </w:rPr>
      </w:pPr>
    </w:p>
    <w:p w14:paraId="28AEACCF" w14:textId="77777777" w:rsidR="00337E1F" w:rsidRPr="00AD3AE1" w:rsidRDefault="00337E1F" w:rsidP="00337E1F">
      <w:pPr>
        <w:rPr>
          <w:rFonts w:asciiTheme="majorHAnsi" w:hAnsiTheme="majorHAnsi"/>
          <w:b/>
          <w:bCs/>
        </w:rPr>
      </w:pPr>
      <w:r w:rsidRPr="00AD3AE1">
        <w:rPr>
          <w:rFonts w:asciiTheme="majorHAnsi" w:hAnsiTheme="majorHAnsi"/>
          <w:b/>
          <w:bCs/>
        </w:rPr>
        <w:t>Supplements</w:t>
      </w:r>
    </w:p>
    <w:p w14:paraId="502850EC" w14:textId="77777777" w:rsidR="00337E1F" w:rsidRPr="00AD3AE1" w:rsidRDefault="00337E1F" w:rsidP="00337E1F">
      <w:pPr>
        <w:rPr>
          <w:rFonts w:asciiTheme="majorHAnsi" w:hAnsiTheme="majorHAnsi"/>
        </w:rPr>
      </w:pPr>
      <w:r w:rsidRPr="00AD3AE1">
        <w:rPr>
          <w:rFonts w:asciiTheme="majorHAnsi" w:hAnsiTheme="majorHAnsi"/>
        </w:rPr>
        <w:t>Q) Do Ensure and boost need approval for use?</w:t>
      </w:r>
    </w:p>
    <w:p w14:paraId="35B55D44" w14:textId="2B09608D" w:rsidR="00337E1F" w:rsidRPr="00AD3AE1" w:rsidRDefault="00337E1F" w:rsidP="00337E1F">
      <w:pPr>
        <w:rPr>
          <w:rFonts w:asciiTheme="majorHAnsi" w:hAnsiTheme="majorHAnsi"/>
        </w:rPr>
      </w:pPr>
      <w:r w:rsidRPr="00AD3AE1">
        <w:rPr>
          <w:rFonts w:asciiTheme="majorHAnsi" w:hAnsiTheme="majorHAnsi"/>
        </w:rPr>
        <w:t xml:space="preserve">A) Ensure and boost do not need approval </w:t>
      </w:r>
      <w:r w:rsidR="00F66BE4" w:rsidRPr="00AD3AE1">
        <w:rPr>
          <w:rFonts w:asciiTheme="majorHAnsi" w:hAnsiTheme="majorHAnsi"/>
        </w:rPr>
        <w:t>unless used for therapeutic situations. Per</w:t>
      </w:r>
      <w:r w:rsidRPr="00AD3AE1">
        <w:rPr>
          <w:rFonts w:asciiTheme="majorHAnsi" w:hAnsiTheme="majorHAnsi"/>
        </w:rPr>
        <w:t xml:space="preserve"> WAC 182-554-300 (2) which states, “For persons who reside in a nursing facility, adult family home, assisted living facility, boarding home, or any other residence where the provision of food is included in the daily rate, oral enteral nutrition products are the responsibility of the facility”. Thickeners are covered for individuals aged 1 year through 20 years.</w:t>
      </w:r>
    </w:p>
    <w:p w14:paraId="16BB611F" w14:textId="6BC4DF59" w:rsidR="00337E1F" w:rsidRPr="00AD3AE1" w:rsidRDefault="00337E1F" w:rsidP="00337E1F">
      <w:pPr>
        <w:rPr>
          <w:rFonts w:asciiTheme="majorHAnsi" w:hAnsiTheme="majorHAnsi"/>
        </w:rPr>
      </w:pPr>
    </w:p>
    <w:p w14:paraId="7AB9411B" w14:textId="276F4918" w:rsidR="00CD5808" w:rsidRPr="00AD3AE1" w:rsidRDefault="00CD5808" w:rsidP="00337E1F">
      <w:pPr>
        <w:rPr>
          <w:rFonts w:asciiTheme="majorHAnsi" w:hAnsiTheme="majorHAnsi"/>
        </w:rPr>
      </w:pPr>
      <w:r w:rsidRPr="00AD3AE1">
        <w:rPr>
          <w:rFonts w:asciiTheme="majorHAnsi" w:hAnsiTheme="majorHAnsi"/>
        </w:rPr>
        <w:t>Q) Does Ensure or Boost need to be on the Medication Administration Record (MAR)?</w:t>
      </w:r>
    </w:p>
    <w:p w14:paraId="5FF1E3DE" w14:textId="7353DDA1" w:rsidR="00CD5808" w:rsidRPr="00AD3AE1" w:rsidRDefault="00CD5808" w:rsidP="00337E1F">
      <w:pPr>
        <w:rPr>
          <w:rFonts w:asciiTheme="majorHAnsi" w:hAnsiTheme="majorHAnsi"/>
        </w:rPr>
      </w:pPr>
      <w:r w:rsidRPr="00AD3AE1">
        <w:rPr>
          <w:rFonts w:asciiTheme="majorHAnsi" w:hAnsiTheme="majorHAnsi"/>
        </w:rPr>
        <w:t>A) If the Ensure is for therapeutic purpose/doctor ordered then yes, it does need to be on the MAR. If it is a resident’s preferences, then it does not need to be on the MAR.</w:t>
      </w:r>
    </w:p>
    <w:p w14:paraId="15050608" w14:textId="77777777" w:rsidR="00CD5808" w:rsidRPr="00AD3AE1" w:rsidRDefault="00CD5808" w:rsidP="00337E1F">
      <w:pPr>
        <w:rPr>
          <w:rFonts w:asciiTheme="majorHAnsi" w:hAnsiTheme="majorHAnsi"/>
        </w:rPr>
      </w:pPr>
    </w:p>
    <w:p w14:paraId="2D899823" w14:textId="77777777" w:rsidR="00337E1F" w:rsidRPr="00AD3AE1" w:rsidRDefault="00337E1F" w:rsidP="00337E1F">
      <w:pPr>
        <w:rPr>
          <w:rFonts w:asciiTheme="majorHAnsi" w:hAnsiTheme="majorHAnsi"/>
          <w:b/>
          <w:bCs/>
        </w:rPr>
      </w:pPr>
      <w:r w:rsidRPr="00AD3AE1">
        <w:rPr>
          <w:rFonts w:asciiTheme="majorHAnsi" w:hAnsiTheme="majorHAnsi"/>
          <w:b/>
          <w:bCs/>
        </w:rPr>
        <w:t>N95 Fit Testing</w:t>
      </w:r>
    </w:p>
    <w:p w14:paraId="129E4132" w14:textId="77777777" w:rsidR="00337E1F" w:rsidRPr="00AD3AE1" w:rsidRDefault="00337E1F" w:rsidP="00337E1F">
      <w:pPr>
        <w:rPr>
          <w:rFonts w:asciiTheme="majorHAnsi" w:hAnsiTheme="majorHAnsi"/>
        </w:rPr>
      </w:pPr>
      <w:r w:rsidRPr="00AD3AE1">
        <w:rPr>
          <w:rFonts w:asciiTheme="majorHAnsi" w:hAnsiTheme="majorHAnsi"/>
        </w:rPr>
        <w:t xml:space="preserve">Q) Do I have to get my staff fit tested for N-95 masks? </w:t>
      </w:r>
    </w:p>
    <w:p w14:paraId="5C37E3C5" w14:textId="77777777" w:rsidR="00337E1F" w:rsidRPr="00AD3AE1" w:rsidRDefault="00337E1F" w:rsidP="00337E1F">
      <w:pPr>
        <w:rPr>
          <w:rFonts w:asciiTheme="majorHAnsi" w:hAnsiTheme="majorHAnsi"/>
        </w:rPr>
      </w:pPr>
      <w:r w:rsidRPr="00AD3AE1">
        <w:rPr>
          <w:rFonts w:asciiTheme="majorHAnsi" w:hAnsiTheme="majorHAnsi"/>
        </w:rPr>
        <w:t>A) Labor and Industries requires a respiratory program and N95 fit testing. If you have questions, please contact </w:t>
      </w:r>
      <w:hyperlink r:id="rId12" w:history="1">
        <w:r w:rsidRPr="00AD3AE1">
          <w:rPr>
            <w:rStyle w:val="Hyperlink"/>
            <w:rFonts w:asciiTheme="majorHAnsi" w:hAnsiTheme="majorHAnsi"/>
          </w:rPr>
          <w:t>hai-covid@doh.wa.gov</w:t>
        </w:r>
      </w:hyperlink>
      <w:r w:rsidRPr="00AD3AE1">
        <w:rPr>
          <w:rFonts w:asciiTheme="majorHAnsi" w:hAnsiTheme="majorHAnsi"/>
        </w:rPr>
        <w:t> or LNI at </w:t>
      </w:r>
      <w:hyperlink r:id="rId13" w:history="1">
        <w:r w:rsidRPr="00AD3AE1">
          <w:rPr>
            <w:rStyle w:val="Hyperlink"/>
            <w:rFonts w:asciiTheme="majorHAnsi" w:hAnsiTheme="majorHAnsi"/>
          </w:rPr>
          <w:t>eyeonsafety@lni.wa.gov</w:t>
        </w:r>
      </w:hyperlink>
    </w:p>
    <w:p w14:paraId="6729D6C7" w14:textId="77777777" w:rsidR="00337E1F" w:rsidRPr="00AD3AE1" w:rsidRDefault="00337E1F" w:rsidP="00337E1F">
      <w:pPr>
        <w:rPr>
          <w:rFonts w:asciiTheme="majorHAnsi" w:hAnsiTheme="majorHAnsi"/>
        </w:rPr>
      </w:pPr>
      <w:r w:rsidRPr="00AD3AE1">
        <w:rPr>
          <w:rFonts w:asciiTheme="majorHAnsi" w:hAnsiTheme="majorHAnsi"/>
        </w:rPr>
        <w:t xml:space="preserve">Employers, including LTCFs, must assess and identify hazards in the work environment and implement measures to reduce risk for their employees. </w:t>
      </w:r>
    </w:p>
    <w:p w14:paraId="4B2184CE" w14:textId="77777777" w:rsidR="00337E1F" w:rsidRPr="00AD3AE1" w:rsidRDefault="00337E1F" w:rsidP="00337E1F">
      <w:pPr>
        <w:rPr>
          <w:rFonts w:asciiTheme="majorHAnsi" w:hAnsiTheme="majorHAnsi"/>
        </w:rPr>
      </w:pPr>
    </w:p>
    <w:p w14:paraId="5FF0BDFB" w14:textId="77777777" w:rsidR="00337E1F" w:rsidRPr="00AD3AE1" w:rsidRDefault="00337E1F" w:rsidP="00337E1F">
      <w:pPr>
        <w:rPr>
          <w:rFonts w:asciiTheme="majorHAnsi" w:hAnsiTheme="majorHAnsi"/>
          <w:b/>
          <w:bCs/>
        </w:rPr>
      </w:pPr>
      <w:r w:rsidRPr="00AD3AE1">
        <w:rPr>
          <w:rFonts w:asciiTheme="majorHAnsi" w:hAnsiTheme="majorHAnsi"/>
          <w:b/>
          <w:bCs/>
        </w:rPr>
        <w:t>Mobility Devices</w:t>
      </w:r>
    </w:p>
    <w:p w14:paraId="31B53CA5" w14:textId="282E423C" w:rsidR="00337E1F" w:rsidRPr="00AD3AE1" w:rsidRDefault="00337E1F" w:rsidP="00337E1F">
      <w:pPr>
        <w:rPr>
          <w:rFonts w:asciiTheme="majorHAnsi" w:hAnsiTheme="majorHAnsi"/>
        </w:rPr>
      </w:pPr>
      <w:r w:rsidRPr="00AD3AE1">
        <w:rPr>
          <w:rFonts w:asciiTheme="majorHAnsi" w:hAnsiTheme="majorHAnsi"/>
        </w:rPr>
        <w:t>Q) What do I need to know about</w:t>
      </w:r>
      <w:r w:rsidR="00F66BE4" w:rsidRPr="00AD3AE1">
        <w:rPr>
          <w:rFonts w:asciiTheme="majorHAnsi" w:hAnsiTheme="majorHAnsi"/>
        </w:rPr>
        <w:t xml:space="preserve"> mobility devices/</w:t>
      </w:r>
      <w:r w:rsidRPr="00AD3AE1">
        <w:rPr>
          <w:rFonts w:asciiTheme="majorHAnsi" w:hAnsiTheme="majorHAnsi"/>
        </w:rPr>
        <w:t xml:space="preserve"> medical equipment? </w:t>
      </w:r>
    </w:p>
    <w:p w14:paraId="10E46674" w14:textId="77777777" w:rsidR="00337E1F" w:rsidRPr="00AD3AE1" w:rsidRDefault="00337E1F" w:rsidP="00337E1F">
      <w:pPr>
        <w:rPr>
          <w:rFonts w:asciiTheme="majorHAnsi" w:hAnsiTheme="majorHAnsi"/>
        </w:rPr>
      </w:pPr>
      <w:r w:rsidRPr="00AD3AE1">
        <w:rPr>
          <w:rFonts w:asciiTheme="majorHAnsi" w:hAnsiTheme="majorHAnsi"/>
        </w:rPr>
        <w:t xml:space="preserve">A) Ensure all medical devices are clean, and in working order. Do not deviate from typical use i.e. use a seated walker as a wheelchair or a hoyer lift to push someone through the home. </w:t>
      </w:r>
    </w:p>
    <w:p w14:paraId="253B21D2" w14:textId="77777777" w:rsidR="00337E1F" w:rsidRPr="00AD3AE1" w:rsidRDefault="00337E1F" w:rsidP="00337E1F">
      <w:pPr>
        <w:rPr>
          <w:rFonts w:asciiTheme="majorHAnsi" w:hAnsiTheme="majorHAnsi"/>
        </w:rPr>
      </w:pPr>
      <w:r w:rsidRPr="00AD3AE1">
        <w:rPr>
          <w:rFonts w:asciiTheme="majorHAnsi" w:hAnsiTheme="majorHAnsi"/>
        </w:rPr>
        <w:t xml:space="preserve"> </w:t>
      </w:r>
    </w:p>
    <w:p w14:paraId="688D392C" w14:textId="77777777" w:rsidR="00337E1F" w:rsidRPr="00AD3AE1" w:rsidRDefault="00337E1F" w:rsidP="00337E1F">
      <w:pPr>
        <w:rPr>
          <w:rFonts w:asciiTheme="majorHAnsi" w:hAnsiTheme="majorHAnsi" w:cstheme="minorHAnsi"/>
          <w:b/>
          <w:bCs/>
        </w:rPr>
      </w:pPr>
      <w:r w:rsidRPr="00AD3AE1">
        <w:rPr>
          <w:rFonts w:asciiTheme="majorHAnsi" w:hAnsiTheme="majorHAnsi" w:cstheme="minorHAnsi"/>
          <w:b/>
          <w:bCs/>
        </w:rPr>
        <w:t>Windows</w:t>
      </w:r>
    </w:p>
    <w:p w14:paraId="6881A67F" w14:textId="77777777" w:rsidR="00F66BE4" w:rsidRPr="00AD3AE1" w:rsidRDefault="00337E1F" w:rsidP="00F66BE4">
      <w:pPr>
        <w:shd w:val="clear" w:color="auto" w:fill="FFFFFF"/>
        <w:rPr>
          <w:rFonts w:asciiTheme="majorHAnsi" w:hAnsiTheme="majorHAnsi" w:cstheme="minorHAnsi"/>
        </w:rPr>
      </w:pPr>
      <w:r w:rsidRPr="00AD3AE1">
        <w:rPr>
          <w:rFonts w:asciiTheme="majorHAnsi" w:hAnsiTheme="majorHAnsi" w:cstheme="minorHAnsi"/>
        </w:rPr>
        <w:t xml:space="preserve">Q) Can windows be locked or </w:t>
      </w:r>
      <w:r w:rsidR="00083F37" w:rsidRPr="00AD3AE1">
        <w:rPr>
          <w:rFonts w:asciiTheme="majorHAnsi" w:hAnsiTheme="majorHAnsi" w:cstheme="minorHAnsi"/>
        </w:rPr>
        <w:t>b</w:t>
      </w:r>
      <w:r w:rsidRPr="00AD3AE1">
        <w:rPr>
          <w:rFonts w:asciiTheme="majorHAnsi" w:hAnsiTheme="majorHAnsi" w:cstheme="minorHAnsi"/>
        </w:rPr>
        <w:t>locked?</w:t>
      </w:r>
      <w:r w:rsidR="00F66BE4" w:rsidRPr="00AD3AE1">
        <w:rPr>
          <w:rFonts w:asciiTheme="majorHAnsi" w:hAnsiTheme="majorHAnsi" w:cstheme="minorHAnsi"/>
        </w:rPr>
        <w:t xml:space="preserve"> (WAC 388-76-10795 (1)(a)(b)(i)(ii)(c)(d)(2)(a)(b)(3) </w:t>
      </w:r>
    </w:p>
    <w:p w14:paraId="28765FC8" w14:textId="6C52AF25" w:rsidR="00F66BE4" w:rsidRPr="00AD3AE1" w:rsidRDefault="00F66BE4" w:rsidP="00F66BE4">
      <w:pPr>
        <w:shd w:val="clear" w:color="auto" w:fill="FFFFFF"/>
        <w:rPr>
          <w:rFonts w:asciiTheme="majorHAnsi" w:eastAsia="Times New Roman" w:hAnsiTheme="majorHAnsi" w:cstheme="minorHAnsi"/>
          <w:color w:val="000000"/>
        </w:rPr>
      </w:pPr>
      <w:r w:rsidRPr="00AD3AE1">
        <w:rPr>
          <w:rFonts w:asciiTheme="majorHAnsi" w:hAnsiTheme="majorHAnsi" w:cstheme="minorHAnsi"/>
        </w:rPr>
        <w:t xml:space="preserve">A) </w:t>
      </w:r>
      <w:r w:rsidRPr="00AD3AE1">
        <w:rPr>
          <w:rFonts w:asciiTheme="majorHAnsi" w:eastAsia="Times New Roman" w:hAnsiTheme="majorHAnsi" w:cstheme="minorHAnsi"/>
          <w:color w:val="000000"/>
        </w:rPr>
        <w:t>1) The adult family home must ensure at least one window in each resident bedroom meets the following requirements:(a) The sill height must not be more than forty-four inches above the finished floor. For homes licensed after July 1, 2007, the department will not approve alternatives to the sill height requirement such as step(s), raised platform(s), or other devices placed by or under the window openings. (b) The opening area must be a minimum of 5.7 square feet, except that the openings of windows in rooms at grade level as defined by the International Residential Code may have a minimum clear opening of 5.0 square feet. The window must also have: (i) A minimum opening height of twenty-four inches; (ii) A minimum opening width of twenty inches; and (c) The home must ensure the bedroom window can be opened from inside the room without keys, tools, or special knowledge or effort to open.</w:t>
      </w:r>
    </w:p>
    <w:p w14:paraId="722ED92A" w14:textId="7D4CDCF3" w:rsidR="00F66BE4" w:rsidRPr="00AD3AE1" w:rsidRDefault="00F66BE4" w:rsidP="00F66BE4">
      <w:pPr>
        <w:shd w:val="clear" w:color="auto" w:fill="FFFFFF"/>
        <w:rPr>
          <w:rFonts w:asciiTheme="majorHAnsi" w:eastAsia="Times New Roman" w:hAnsiTheme="majorHAnsi" w:cstheme="minorHAnsi"/>
          <w:color w:val="000000"/>
        </w:rPr>
      </w:pPr>
      <w:r w:rsidRPr="00AD3AE1">
        <w:rPr>
          <w:rFonts w:asciiTheme="majorHAnsi" w:eastAsia="Times New Roman" w:hAnsiTheme="majorHAnsi" w:cstheme="minorHAnsi"/>
          <w:color w:val="000000"/>
        </w:rPr>
        <w:t>(d) The window must be free from obstructions that might block or interfere with access for emergency escape or rescue. (2) When resident bedroom windows are fitted with storm windows, the home must equip the storm windows with release mechanisms that: (a) Easily open from the inside; and (b) Do not require a key or special knowledge or effort to open. (3) The home must ensure that each basement window is kept free from obstructions that might block or interfere with access for emergency escape or rescue.</w:t>
      </w:r>
    </w:p>
    <w:p w14:paraId="08C56039" w14:textId="17092D9F" w:rsidR="008B4197" w:rsidRPr="00AD3AE1" w:rsidRDefault="008B4197" w:rsidP="00F66BE4">
      <w:pPr>
        <w:shd w:val="clear" w:color="auto" w:fill="FFFFFF"/>
        <w:rPr>
          <w:rFonts w:asciiTheme="majorHAnsi" w:eastAsia="Times New Roman" w:hAnsiTheme="majorHAnsi" w:cstheme="minorHAnsi"/>
          <w:color w:val="000000"/>
        </w:rPr>
      </w:pPr>
    </w:p>
    <w:p w14:paraId="404FABF1" w14:textId="77777777" w:rsidR="00AD3AE1" w:rsidRDefault="00AD3AE1" w:rsidP="00F66BE4">
      <w:pPr>
        <w:shd w:val="clear" w:color="auto" w:fill="FFFFFF"/>
        <w:rPr>
          <w:rFonts w:asciiTheme="majorHAnsi" w:eastAsia="Times New Roman" w:hAnsiTheme="majorHAnsi" w:cstheme="minorHAnsi"/>
          <w:b/>
          <w:bCs/>
          <w:color w:val="000000"/>
        </w:rPr>
      </w:pPr>
    </w:p>
    <w:p w14:paraId="5627E81B" w14:textId="166874A5" w:rsidR="008B4197" w:rsidRPr="00AD3AE1" w:rsidRDefault="008B4197" w:rsidP="00F66BE4">
      <w:pPr>
        <w:shd w:val="clear" w:color="auto" w:fill="FFFFFF"/>
        <w:rPr>
          <w:rFonts w:asciiTheme="majorHAnsi" w:eastAsia="Times New Roman" w:hAnsiTheme="majorHAnsi" w:cstheme="minorHAnsi"/>
          <w:b/>
          <w:bCs/>
          <w:color w:val="000000"/>
        </w:rPr>
      </w:pPr>
      <w:r w:rsidRPr="00AD3AE1">
        <w:rPr>
          <w:rFonts w:asciiTheme="majorHAnsi" w:eastAsia="Times New Roman" w:hAnsiTheme="majorHAnsi" w:cstheme="minorHAnsi"/>
          <w:b/>
          <w:bCs/>
          <w:color w:val="000000"/>
        </w:rPr>
        <w:lastRenderedPageBreak/>
        <w:t>Medical Emergency Policy</w:t>
      </w:r>
    </w:p>
    <w:p w14:paraId="14A9F5D9" w14:textId="3AD69612" w:rsidR="008B4197" w:rsidRPr="00AD3AE1" w:rsidRDefault="008B4197" w:rsidP="008B4197">
      <w:pPr>
        <w:shd w:val="clear" w:color="auto" w:fill="FFFFFF"/>
        <w:rPr>
          <w:rFonts w:asciiTheme="majorHAnsi" w:eastAsia="Times New Roman" w:hAnsiTheme="majorHAnsi" w:cstheme="minorHAnsi"/>
          <w:color w:val="000000"/>
        </w:rPr>
      </w:pPr>
      <w:r w:rsidRPr="00AD3AE1">
        <w:rPr>
          <w:rFonts w:asciiTheme="majorHAnsi" w:eastAsia="Times New Roman" w:hAnsiTheme="majorHAnsi" w:cstheme="minorHAnsi"/>
          <w:color w:val="000000"/>
        </w:rPr>
        <w:t>Q) Do I always have to call 911? Do I have to do CPR? The resident has a DNR.</w:t>
      </w:r>
    </w:p>
    <w:p w14:paraId="55480C7A" w14:textId="2E20E4F9" w:rsidR="008B4197" w:rsidRPr="00AD3AE1" w:rsidRDefault="008B4197" w:rsidP="008B4197">
      <w:pPr>
        <w:shd w:val="clear" w:color="auto" w:fill="FFFFFF"/>
        <w:rPr>
          <w:rFonts w:asciiTheme="majorHAnsi" w:hAnsiTheme="majorHAnsi" w:cstheme="minorHAnsi"/>
          <w:color w:val="000000"/>
        </w:rPr>
      </w:pPr>
      <w:r w:rsidRPr="00AD3AE1">
        <w:rPr>
          <w:rFonts w:asciiTheme="majorHAnsi" w:eastAsia="Times New Roman" w:hAnsiTheme="majorHAnsi" w:cstheme="minorHAnsi"/>
          <w:color w:val="000000"/>
        </w:rPr>
        <w:t>A) Cont</w:t>
      </w:r>
      <w:r w:rsidRPr="00AD3AE1">
        <w:rPr>
          <w:rFonts w:asciiTheme="majorHAnsi" w:hAnsiTheme="majorHAnsi" w:cstheme="minorHAnsi"/>
          <w:color w:val="000000"/>
        </w:rPr>
        <w:t>acting emergency medical services—Required. WAC 388-76-10250</w:t>
      </w:r>
    </w:p>
    <w:p w14:paraId="05DED689" w14:textId="1AB07864" w:rsidR="008B4197" w:rsidRPr="00AD3AE1" w:rsidRDefault="008B4197" w:rsidP="008B4197">
      <w:pPr>
        <w:shd w:val="clear" w:color="auto" w:fill="FFFFFF"/>
        <w:rPr>
          <w:rFonts w:asciiTheme="majorHAnsi" w:hAnsiTheme="majorHAnsi" w:cstheme="minorHAnsi"/>
          <w:color w:val="000000"/>
        </w:rPr>
      </w:pPr>
      <w:r w:rsidRPr="00AD3AE1">
        <w:rPr>
          <w:rFonts w:asciiTheme="majorHAnsi" w:hAnsiTheme="majorHAnsi" w:cstheme="minorHAnsi"/>
          <w:color w:val="000000"/>
        </w:rPr>
        <w:t>(1) The adult family home must develop and implement policies and procedures which require immediate contact of the local emergency medical services when a resident has a medical emergency. This requirement applies: (a) Unless the caregiver, present at the time of the emergency, is a licensed physician or registered nurse acting within his or her scope of practice; (b) Whether or not:</w:t>
      </w:r>
    </w:p>
    <w:p w14:paraId="50D8E696" w14:textId="77777777" w:rsidR="008B4197" w:rsidRPr="00AD3AE1" w:rsidRDefault="008B4197" w:rsidP="008B4197">
      <w:pPr>
        <w:shd w:val="clear" w:color="auto" w:fill="FFFFFF"/>
        <w:rPr>
          <w:rFonts w:asciiTheme="majorHAnsi" w:hAnsiTheme="majorHAnsi" w:cstheme="minorHAnsi"/>
          <w:color w:val="000000"/>
        </w:rPr>
      </w:pPr>
      <w:r w:rsidRPr="00AD3AE1">
        <w:rPr>
          <w:rFonts w:asciiTheme="majorHAnsi" w:hAnsiTheme="majorHAnsi" w:cstheme="minorHAnsi"/>
          <w:color w:val="000000"/>
        </w:rPr>
        <w:t>(i) Any order exists directing medical care for the resident;</w:t>
      </w:r>
    </w:p>
    <w:p w14:paraId="2C12F7C3" w14:textId="77777777" w:rsidR="008B4197" w:rsidRPr="00AD3AE1" w:rsidRDefault="008B4197" w:rsidP="008B4197">
      <w:pPr>
        <w:shd w:val="clear" w:color="auto" w:fill="FFFFFF"/>
        <w:rPr>
          <w:rFonts w:asciiTheme="majorHAnsi" w:hAnsiTheme="majorHAnsi" w:cstheme="minorHAnsi"/>
          <w:color w:val="000000"/>
        </w:rPr>
      </w:pPr>
      <w:r w:rsidRPr="00AD3AE1">
        <w:rPr>
          <w:rFonts w:asciiTheme="majorHAnsi" w:hAnsiTheme="majorHAnsi" w:cstheme="minorHAnsi"/>
          <w:color w:val="000000"/>
        </w:rPr>
        <w:t>(ii) The resident has provided an advance directive for medical care; or</w:t>
      </w:r>
    </w:p>
    <w:p w14:paraId="6EB7C390" w14:textId="77777777" w:rsidR="008B4197" w:rsidRPr="00AD3AE1" w:rsidRDefault="008B4197" w:rsidP="008B4197">
      <w:pPr>
        <w:shd w:val="clear" w:color="auto" w:fill="FFFFFF"/>
        <w:rPr>
          <w:rFonts w:asciiTheme="majorHAnsi" w:hAnsiTheme="majorHAnsi" w:cstheme="minorHAnsi"/>
          <w:color w:val="000000"/>
        </w:rPr>
      </w:pPr>
      <w:r w:rsidRPr="00AD3AE1">
        <w:rPr>
          <w:rFonts w:asciiTheme="majorHAnsi" w:hAnsiTheme="majorHAnsi" w:cstheme="minorHAnsi"/>
          <w:color w:val="000000"/>
        </w:rPr>
        <w:t>(iii) The resident has expressed any wishes involving medical care.</w:t>
      </w:r>
    </w:p>
    <w:p w14:paraId="445912D4" w14:textId="6C94994D" w:rsidR="008B4197" w:rsidRPr="00AD3AE1" w:rsidRDefault="008B4197" w:rsidP="008B4197">
      <w:pPr>
        <w:shd w:val="clear" w:color="auto" w:fill="FFFFFF"/>
        <w:rPr>
          <w:rFonts w:asciiTheme="majorHAnsi" w:hAnsiTheme="majorHAnsi" w:cstheme="minorHAnsi"/>
          <w:color w:val="000000"/>
        </w:rPr>
      </w:pPr>
      <w:r w:rsidRPr="00AD3AE1">
        <w:rPr>
          <w:rFonts w:asciiTheme="majorHAnsi" w:hAnsiTheme="majorHAnsi" w:cstheme="minorHAnsi"/>
          <w:color w:val="000000"/>
        </w:rPr>
        <w:t>(2) If available, the home must immediately give arriving emergency medical services personnel a copy of: (a) Any order that exists directing medical care for the resident; and (b) The resident's advance directive for medical care. (3) The home must inform the resident of the requirements in this section.</w:t>
      </w:r>
    </w:p>
    <w:p w14:paraId="74F900C1" w14:textId="5AAE9027" w:rsidR="008B4197" w:rsidRPr="00AD3AE1" w:rsidRDefault="008B4197" w:rsidP="008B4197">
      <w:pPr>
        <w:shd w:val="clear" w:color="auto" w:fill="FFFFFF"/>
        <w:rPr>
          <w:rFonts w:asciiTheme="majorHAnsi" w:hAnsiTheme="majorHAnsi" w:cstheme="minorHAnsi"/>
          <w:color w:val="000000"/>
        </w:rPr>
      </w:pPr>
      <w:r w:rsidRPr="00AD3AE1">
        <w:rPr>
          <w:rFonts w:asciiTheme="majorHAnsi" w:hAnsiTheme="majorHAnsi" w:cstheme="minorHAnsi"/>
          <w:color w:val="000000"/>
        </w:rPr>
        <w:t>(4) The home is not required to contact emergency medical services when a resident is receiving hospice care by a licensed hospice agency and the: (a) Emergency relates to the expected hospice death; and</w:t>
      </w:r>
    </w:p>
    <w:p w14:paraId="0F9ED0F8" w14:textId="77777777" w:rsidR="008B4197" w:rsidRPr="00AD3AE1" w:rsidRDefault="008B4197" w:rsidP="008B4197">
      <w:pPr>
        <w:shd w:val="clear" w:color="auto" w:fill="FFFFFF"/>
        <w:rPr>
          <w:rFonts w:asciiTheme="majorHAnsi" w:hAnsiTheme="majorHAnsi" w:cstheme="minorHAnsi"/>
          <w:color w:val="000000"/>
        </w:rPr>
      </w:pPr>
      <w:r w:rsidRPr="00AD3AE1">
        <w:rPr>
          <w:rFonts w:asciiTheme="majorHAnsi" w:hAnsiTheme="majorHAnsi" w:cstheme="minorHAnsi"/>
          <w:color w:val="000000"/>
        </w:rPr>
        <w:t>(b) Situation is monitored by the hospice agency.</w:t>
      </w:r>
    </w:p>
    <w:p w14:paraId="719C764A" w14:textId="5AC38073" w:rsidR="008B4197" w:rsidRPr="00AD3AE1" w:rsidRDefault="008B4197" w:rsidP="00F66BE4">
      <w:pPr>
        <w:shd w:val="clear" w:color="auto" w:fill="FFFFFF"/>
        <w:rPr>
          <w:rFonts w:asciiTheme="majorHAnsi" w:eastAsia="Times New Roman" w:hAnsiTheme="majorHAnsi" w:cstheme="minorHAnsi"/>
          <w:color w:val="000000"/>
        </w:rPr>
      </w:pPr>
    </w:p>
    <w:p w14:paraId="4D11B086" w14:textId="77777777" w:rsidR="00337E1F" w:rsidRPr="00AD3AE1" w:rsidRDefault="00337E1F" w:rsidP="00337E1F">
      <w:pPr>
        <w:rPr>
          <w:rFonts w:asciiTheme="majorHAnsi" w:hAnsiTheme="majorHAnsi"/>
          <w:b/>
          <w:bCs/>
        </w:rPr>
      </w:pPr>
      <w:r w:rsidRPr="00AD3AE1">
        <w:rPr>
          <w:rFonts w:asciiTheme="majorHAnsi" w:hAnsiTheme="majorHAnsi"/>
          <w:b/>
          <w:bCs/>
        </w:rPr>
        <w:t>Reporting</w:t>
      </w:r>
    </w:p>
    <w:p w14:paraId="3AADDEF8" w14:textId="77777777" w:rsidR="00337E1F" w:rsidRPr="00AD3AE1" w:rsidRDefault="00337E1F" w:rsidP="00337E1F">
      <w:pPr>
        <w:rPr>
          <w:rFonts w:asciiTheme="majorHAnsi" w:hAnsiTheme="majorHAnsi"/>
        </w:rPr>
      </w:pPr>
      <w:r w:rsidRPr="00AD3AE1">
        <w:rPr>
          <w:rFonts w:asciiTheme="majorHAnsi" w:hAnsiTheme="majorHAnsi"/>
        </w:rPr>
        <w:t>Q) When do I need to report and incident? Reporting Requirements (WAC 388-76-10225)</w:t>
      </w:r>
    </w:p>
    <w:p w14:paraId="3B4FA537" w14:textId="77777777" w:rsidR="00337E1F" w:rsidRPr="00AD3AE1" w:rsidRDefault="00337E1F" w:rsidP="00337E1F">
      <w:pPr>
        <w:rPr>
          <w:rFonts w:asciiTheme="majorHAnsi" w:hAnsiTheme="majorHAnsi"/>
        </w:rPr>
      </w:pPr>
      <w:r w:rsidRPr="00AD3AE1">
        <w:rPr>
          <w:rFonts w:asciiTheme="majorHAnsi" w:hAnsiTheme="majorHAnsi"/>
        </w:rPr>
        <w:t>A ) The adult family home must ensure all staff:  Report suspected abuse, neglect, exploitation or abandonment of a resident: As required by chapter </w:t>
      </w:r>
      <w:hyperlink r:id="rId14" w:history="1">
        <w:r w:rsidRPr="00AD3AE1">
          <w:rPr>
            <w:rStyle w:val="Hyperlink"/>
            <w:rFonts w:asciiTheme="majorHAnsi" w:hAnsiTheme="majorHAnsi"/>
          </w:rPr>
          <w:t>74.34</w:t>
        </w:r>
      </w:hyperlink>
      <w:r w:rsidRPr="00AD3AE1">
        <w:rPr>
          <w:rFonts w:asciiTheme="majorHAnsi" w:hAnsiTheme="majorHAnsi"/>
        </w:rPr>
        <w:t> RCW;</w:t>
      </w:r>
    </w:p>
    <w:p w14:paraId="7981EFA4" w14:textId="77777777" w:rsidR="00337E1F" w:rsidRPr="00AD3AE1" w:rsidRDefault="00337E1F" w:rsidP="00337E1F">
      <w:pPr>
        <w:rPr>
          <w:rFonts w:asciiTheme="majorHAnsi" w:hAnsiTheme="majorHAnsi"/>
        </w:rPr>
      </w:pPr>
      <w:r w:rsidRPr="00AD3AE1">
        <w:rPr>
          <w:rFonts w:asciiTheme="majorHAnsi" w:hAnsiTheme="majorHAnsi"/>
        </w:rPr>
        <w:t>To the department by calling the complaint toll-free hotline number; and</w:t>
      </w:r>
    </w:p>
    <w:p w14:paraId="08D35D6B" w14:textId="77777777" w:rsidR="00337E1F" w:rsidRPr="00AD3AE1" w:rsidRDefault="00337E1F" w:rsidP="00337E1F">
      <w:pPr>
        <w:rPr>
          <w:rFonts w:asciiTheme="majorHAnsi" w:hAnsiTheme="majorHAnsi"/>
        </w:rPr>
      </w:pPr>
      <w:r w:rsidRPr="00AD3AE1">
        <w:rPr>
          <w:rFonts w:asciiTheme="majorHAnsi" w:hAnsiTheme="majorHAnsi"/>
        </w:rPr>
        <w:t>To the local law enforcement agency when required by RCW </w:t>
      </w:r>
      <w:hyperlink r:id="rId15" w:history="1">
        <w:r w:rsidRPr="00AD3AE1">
          <w:rPr>
            <w:rStyle w:val="Hyperlink"/>
            <w:rFonts w:asciiTheme="majorHAnsi" w:hAnsiTheme="majorHAnsi"/>
          </w:rPr>
          <w:t>74.34.035</w:t>
        </w:r>
      </w:hyperlink>
      <w:r w:rsidRPr="00AD3AE1">
        <w:rPr>
          <w:rFonts w:asciiTheme="majorHAnsi" w:hAnsiTheme="majorHAnsi"/>
        </w:rPr>
        <w:t>. Report the following to the department by calling the complaint toll-free hotline number:</w:t>
      </w:r>
    </w:p>
    <w:p w14:paraId="2FB388A5" w14:textId="77777777" w:rsidR="00337E1F" w:rsidRPr="00AD3AE1" w:rsidRDefault="00337E1F" w:rsidP="00337E1F">
      <w:pPr>
        <w:rPr>
          <w:rFonts w:asciiTheme="majorHAnsi" w:hAnsiTheme="majorHAnsi"/>
        </w:rPr>
      </w:pPr>
      <w:r w:rsidRPr="00AD3AE1">
        <w:rPr>
          <w:rFonts w:asciiTheme="majorHAnsi" w:hAnsiTheme="majorHAnsi"/>
        </w:rPr>
        <w:t>Any actual or potential event requiring any resident to be evacuated; Conditions that threaten the provider's or entity representative's ability to continue to provide care or services to each resident; and A missing resident. When there is a significant change in a resident's condition, or a serious injury, trauma, or death of a resident, the adult family home must immediately notify:</w:t>
      </w:r>
    </w:p>
    <w:p w14:paraId="158DF351" w14:textId="77777777" w:rsidR="00337E1F" w:rsidRPr="00AD3AE1" w:rsidRDefault="00337E1F" w:rsidP="00337E1F">
      <w:pPr>
        <w:rPr>
          <w:rFonts w:asciiTheme="majorHAnsi" w:hAnsiTheme="majorHAnsi"/>
        </w:rPr>
      </w:pPr>
      <w:r w:rsidRPr="00AD3AE1">
        <w:rPr>
          <w:rFonts w:asciiTheme="majorHAnsi" w:hAnsiTheme="majorHAnsi"/>
        </w:rPr>
        <w:t>(a) The resident's family;</w:t>
      </w:r>
    </w:p>
    <w:p w14:paraId="01BC27F2" w14:textId="77777777" w:rsidR="00337E1F" w:rsidRPr="00AD3AE1" w:rsidRDefault="00337E1F" w:rsidP="00337E1F">
      <w:pPr>
        <w:rPr>
          <w:rFonts w:asciiTheme="majorHAnsi" w:hAnsiTheme="majorHAnsi"/>
        </w:rPr>
      </w:pPr>
      <w:r w:rsidRPr="00AD3AE1">
        <w:rPr>
          <w:rFonts w:asciiTheme="majorHAnsi" w:hAnsiTheme="majorHAnsi"/>
        </w:rPr>
        <w:t>(b) The resident's representative, if one exists;</w:t>
      </w:r>
    </w:p>
    <w:p w14:paraId="2A552743" w14:textId="77777777" w:rsidR="00337E1F" w:rsidRPr="00AD3AE1" w:rsidRDefault="00337E1F" w:rsidP="00337E1F">
      <w:pPr>
        <w:rPr>
          <w:rFonts w:asciiTheme="majorHAnsi" w:hAnsiTheme="majorHAnsi"/>
        </w:rPr>
      </w:pPr>
      <w:r w:rsidRPr="00AD3AE1">
        <w:rPr>
          <w:rFonts w:asciiTheme="majorHAnsi" w:hAnsiTheme="majorHAnsi"/>
        </w:rPr>
        <w:t>(c) The resident's health care provider;</w:t>
      </w:r>
    </w:p>
    <w:p w14:paraId="1FCFFF99" w14:textId="77777777" w:rsidR="00337E1F" w:rsidRPr="00AD3AE1" w:rsidRDefault="00337E1F" w:rsidP="00337E1F">
      <w:pPr>
        <w:rPr>
          <w:rFonts w:asciiTheme="majorHAnsi" w:hAnsiTheme="majorHAnsi"/>
        </w:rPr>
      </w:pPr>
      <w:r w:rsidRPr="00AD3AE1">
        <w:rPr>
          <w:rFonts w:asciiTheme="majorHAnsi" w:hAnsiTheme="majorHAnsi"/>
        </w:rPr>
        <w:t>(d) Other appropriate professionals working with the resident;</w:t>
      </w:r>
    </w:p>
    <w:p w14:paraId="098D5B4A" w14:textId="77777777" w:rsidR="00337E1F" w:rsidRPr="00AD3AE1" w:rsidRDefault="00337E1F" w:rsidP="00337E1F">
      <w:pPr>
        <w:rPr>
          <w:rFonts w:asciiTheme="majorHAnsi" w:hAnsiTheme="majorHAnsi"/>
        </w:rPr>
      </w:pPr>
      <w:r w:rsidRPr="00AD3AE1">
        <w:rPr>
          <w:rFonts w:asciiTheme="majorHAnsi" w:hAnsiTheme="majorHAnsi"/>
        </w:rPr>
        <w:t>(e) Persons identified in the negotiated care plan; and</w:t>
      </w:r>
    </w:p>
    <w:p w14:paraId="0EF3DD09" w14:textId="77777777" w:rsidR="00337E1F" w:rsidRPr="00AD3AE1" w:rsidRDefault="00337E1F" w:rsidP="00337E1F">
      <w:pPr>
        <w:rPr>
          <w:rFonts w:asciiTheme="majorHAnsi" w:hAnsiTheme="majorHAnsi"/>
        </w:rPr>
      </w:pPr>
      <w:r w:rsidRPr="00AD3AE1">
        <w:rPr>
          <w:rFonts w:asciiTheme="majorHAnsi" w:hAnsiTheme="majorHAnsi"/>
        </w:rPr>
        <w:t>(f) The resident's case manager if the resident is a department client.</w:t>
      </w:r>
    </w:p>
    <w:p w14:paraId="3C7349C2" w14:textId="77777777" w:rsidR="00337E1F" w:rsidRPr="00AD3AE1" w:rsidRDefault="00337E1F" w:rsidP="00337E1F">
      <w:pPr>
        <w:rPr>
          <w:rFonts w:asciiTheme="majorHAnsi" w:hAnsiTheme="majorHAnsi"/>
        </w:rPr>
      </w:pPr>
      <w:r w:rsidRPr="00AD3AE1">
        <w:rPr>
          <w:rFonts w:asciiTheme="majorHAnsi" w:hAnsiTheme="majorHAnsi"/>
        </w:rPr>
        <w:t>(3) Whenever an outbreak of suspected food poisoning or communicable disease occurs, the adult family home must notify:</w:t>
      </w:r>
    </w:p>
    <w:p w14:paraId="2DE166C1" w14:textId="77777777" w:rsidR="00337E1F" w:rsidRPr="00AD3AE1" w:rsidRDefault="00337E1F" w:rsidP="00337E1F">
      <w:pPr>
        <w:rPr>
          <w:rFonts w:asciiTheme="majorHAnsi" w:hAnsiTheme="majorHAnsi"/>
        </w:rPr>
      </w:pPr>
      <w:r w:rsidRPr="00AD3AE1">
        <w:rPr>
          <w:rFonts w:asciiTheme="majorHAnsi" w:hAnsiTheme="majorHAnsi"/>
        </w:rPr>
        <w:t>(a) The local public health officer; and</w:t>
      </w:r>
    </w:p>
    <w:p w14:paraId="3B2FB455" w14:textId="77777777" w:rsidR="00337E1F" w:rsidRPr="00AD3AE1" w:rsidRDefault="00337E1F" w:rsidP="00337E1F">
      <w:pPr>
        <w:rPr>
          <w:rFonts w:asciiTheme="majorHAnsi" w:hAnsiTheme="majorHAnsi"/>
        </w:rPr>
      </w:pPr>
      <w:r w:rsidRPr="00AD3AE1">
        <w:rPr>
          <w:rFonts w:asciiTheme="majorHAnsi" w:hAnsiTheme="majorHAnsi"/>
        </w:rPr>
        <w:t>(b) The department's complaint toll-free hotline number.</w:t>
      </w:r>
    </w:p>
    <w:p w14:paraId="3025FFE4" w14:textId="736A675D" w:rsidR="00337E1F" w:rsidRPr="00AD3AE1" w:rsidRDefault="00337E1F" w:rsidP="00337E1F">
      <w:pPr>
        <w:rPr>
          <w:rFonts w:asciiTheme="majorHAnsi" w:hAnsiTheme="majorHAnsi"/>
        </w:rPr>
      </w:pPr>
      <w:r w:rsidRPr="00AD3AE1">
        <w:rPr>
          <w:rFonts w:asciiTheme="majorHAnsi" w:hAnsiTheme="majorHAnsi"/>
        </w:rPr>
        <w:t>The adult family home must notify the department's case management office within twenty-four hours whenever a resident, whose stay is paid for by the department is discharged for more than twenty-four hours on medical leave to a nursing home or hospital.</w:t>
      </w:r>
    </w:p>
    <w:p w14:paraId="540C60FB" w14:textId="79F1634F" w:rsidR="00CD5808" w:rsidRPr="00AD3AE1" w:rsidRDefault="00CD5808" w:rsidP="00337E1F">
      <w:pPr>
        <w:rPr>
          <w:rFonts w:asciiTheme="majorHAnsi" w:hAnsiTheme="majorHAnsi"/>
        </w:rPr>
      </w:pPr>
    </w:p>
    <w:p w14:paraId="3C7BBDA5" w14:textId="1DA1D242" w:rsidR="00CD5808" w:rsidRPr="00AD3AE1" w:rsidRDefault="00F11D07" w:rsidP="00337E1F">
      <w:pPr>
        <w:rPr>
          <w:rFonts w:asciiTheme="majorHAnsi" w:hAnsiTheme="majorHAnsi"/>
        </w:rPr>
      </w:pPr>
      <w:hyperlink r:id="rId16" w:history="1">
        <w:r w:rsidR="00CD5808" w:rsidRPr="00AD3AE1">
          <w:rPr>
            <w:rStyle w:val="Hyperlink"/>
            <w:rFonts w:asciiTheme="majorHAnsi" w:hAnsiTheme="majorHAnsi"/>
          </w:rPr>
          <w:t>https://www.dshs.wa.gov/sites/default/files/ALTSA/rcs/documents/AFH%20Guidebook.pdf</w:t>
        </w:r>
      </w:hyperlink>
    </w:p>
    <w:p w14:paraId="7DDC92D4" w14:textId="77777777" w:rsidR="00CD5808" w:rsidRPr="00AD3AE1" w:rsidRDefault="00CD5808" w:rsidP="00337E1F">
      <w:pPr>
        <w:rPr>
          <w:rFonts w:asciiTheme="majorHAnsi" w:hAnsiTheme="majorHAnsi"/>
        </w:rPr>
      </w:pPr>
    </w:p>
    <w:p w14:paraId="3CD68D98" w14:textId="574DFE27" w:rsidR="00337E1F" w:rsidRPr="00AD3AE1" w:rsidRDefault="00337E1F" w:rsidP="00337E1F">
      <w:pPr>
        <w:rPr>
          <w:rFonts w:asciiTheme="majorHAnsi" w:hAnsiTheme="majorHAnsi"/>
        </w:rPr>
      </w:pPr>
      <w:r w:rsidRPr="00AD3AE1">
        <w:rPr>
          <w:rFonts w:asciiTheme="majorHAnsi" w:hAnsiTheme="majorHAnsi"/>
          <w:b/>
          <w:bCs/>
        </w:rPr>
        <w:lastRenderedPageBreak/>
        <w:t xml:space="preserve">Licensing inspections </w:t>
      </w:r>
      <w:r w:rsidR="00782A1C" w:rsidRPr="00AD3AE1">
        <w:rPr>
          <w:rFonts w:asciiTheme="majorHAnsi" w:hAnsiTheme="majorHAnsi"/>
          <w:b/>
          <w:bCs/>
        </w:rPr>
        <w:t xml:space="preserve">and complaint investigations </w:t>
      </w:r>
    </w:p>
    <w:p w14:paraId="0E02C9CD" w14:textId="77777777" w:rsidR="00337E1F" w:rsidRPr="00AD3AE1" w:rsidRDefault="00337E1F" w:rsidP="00337E1F">
      <w:pPr>
        <w:rPr>
          <w:rFonts w:asciiTheme="majorHAnsi" w:hAnsiTheme="majorHAnsi"/>
        </w:rPr>
      </w:pPr>
      <w:r w:rsidRPr="00AD3AE1">
        <w:rPr>
          <w:rFonts w:asciiTheme="majorHAnsi" w:hAnsiTheme="majorHAnsi"/>
        </w:rPr>
        <w:t xml:space="preserve">Q) Can licensing inspections be rescheduled? </w:t>
      </w:r>
    </w:p>
    <w:p w14:paraId="1C047F30" w14:textId="15C908FF" w:rsidR="00337E1F" w:rsidRPr="00AD3AE1" w:rsidRDefault="00337E1F" w:rsidP="00337E1F">
      <w:pPr>
        <w:rPr>
          <w:rFonts w:asciiTheme="majorHAnsi" w:hAnsiTheme="majorHAnsi"/>
        </w:rPr>
      </w:pPr>
      <w:r w:rsidRPr="00AD3AE1">
        <w:rPr>
          <w:rFonts w:asciiTheme="majorHAnsi" w:hAnsiTheme="majorHAnsi"/>
        </w:rPr>
        <w:t xml:space="preserve">A) Providers do not need to be available during licensing inspections. RCS does not reschedule licensing inspections if a Provider is not available.  </w:t>
      </w:r>
    </w:p>
    <w:p w14:paraId="5C6AD40F" w14:textId="095630D9" w:rsidR="00782A1C" w:rsidRPr="00AD3AE1" w:rsidRDefault="00782A1C" w:rsidP="00337E1F">
      <w:pPr>
        <w:rPr>
          <w:rFonts w:asciiTheme="majorHAnsi" w:hAnsiTheme="majorHAnsi"/>
        </w:rPr>
      </w:pPr>
    </w:p>
    <w:p w14:paraId="4A9CAFCD" w14:textId="72FE6BA0" w:rsidR="00782A1C" w:rsidRPr="00AD3AE1" w:rsidRDefault="00782A1C" w:rsidP="00337E1F">
      <w:pPr>
        <w:rPr>
          <w:rFonts w:asciiTheme="majorHAnsi" w:hAnsiTheme="majorHAnsi"/>
        </w:rPr>
      </w:pPr>
      <w:r w:rsidRPr="00AD3AE1">
        <w:rPr>
          <w:rFonts w:asciiTheme="majorHAnsi" w:hAnsiTheme="majorHAnsi"/>
        </w:rPr>
        <w:t>Q) Can a licensing inspection and investigation be completed at the same time?</w:t>
      </w:r>
    </w:p>
    <w:p w14:paraId="3C3C5B95" w14:textId="77777777" w:rsidR="002509D9" w:rsidRPr="00AD3AE1" w:rsidRDefault="00782A1C" w:rsidP="00337E1F">
      <w:pPr>
        <w:rPr>
          <w:rFonts w:asciiTheme="majorHAnsi" w:hAnsiTheme="majorHAnsi"/>
        </w:rPr>
      </w:pPr>
      <w:r w:rsidRPr="00AD3AE1">
        <w:rPr>
          <w:rFonts w:asciiTheme="majorHAnsi" w:hAnsiTheme="majorHAnsi"/>
        </w:rPr>
        <w:t>A) Yes. RCS can complete a licensing inspection and compl</w:t>
      </w:r>
      <w:r w:rsidR="002509D9" w:rsidRPr="00AD3AE1">
        <w:rPr>
          <w:rFonts w:asciiTheme="majorHAnsi" w:hAnsiTheme="majorHAnsi"/>
        </w:rPr>
        <w:t>aint</w:t>
      </w:r>
      <w:r w:rsidRPr="00AD3AE1">
        <w:rPr>
          <w:rFonts w:asciiTheme="majorHAnsi" w:hAnsiTheme="majorHAnsi"/>
        </w:rPr>
        <w:t xml:space="preserve"> investigation at the same time.  Typically, when this is completed, the complaint investigation is not complex</w:t>
      </w:r>
      <w:r w:rsidR="002509D9" w:rsidRPr="00AD3AE1">
        <w:rPr>
          <w:rFonts w:asciiTheme="majorHAnsi" w:hAnsiTheme="majorHAnsi"/>
        </w:rPr>
        <w:t>,</w:t>
      </w:r>
      <w:r w:rsidRPr="00AD3AE1">
        <w:rPr>
          <w:rFonts w:asciiTheme="majorHAnsi" w:hAnsiTheme="majorHAnsi"/>
        </w:rPr>
        <w:t xml:space="preserve"> and the licensor will choose</w:t>
      </w:r>
      <w:r w:rsidR="002509D9" w:rsidRPr="00AD3AE1">
        <w:rPr>
          <w:rFonts w:asciiTheme="majorHAnsi" w:hAnsiTheme="majorHAnsi"/>
        </w:rPr>
        <w:t xml:space="preserve"> the resident involved with the concern as a sample. </w:t>
      </w:r>
    </w:p>
    <w:p w14:paraId="704DBB59" w14:textId="77777777" w:rsidR="002509D9" w:rsidRPr="00AD3AE1" w:rsidRDefault="002509D9" w:rsidP="00337E1F">
      <w:pPr>
        <w:rPr>
          <w:rFonts w:asciiTheme="majorHAnsi" w:hAnsiTheme="majorHAnsi"/>
        </w:rPr>
      </w:pPr>
    </w:p>
    <w:p w14:paraId="2C2E5DF5" w14:textId="77777777" w:rsidR="002509D9" w:rsidRPr="00AD3AE1" w:rsidRDefault="002509D9" w:rsidP="00337E1F">
      <w:pPr>
        <w:rPr>
          <w:rFonts w:asciiTheme="majorHAnsi" w:hAnsiTheme="majorHAnsi"/>
        </w:rPr>
      </w:pPr>
      <w:r w:rsidRPr="00AD3AE1">
        <w:rPr>
          <w:rFonts w:asciiTheme="majorHAnsi" w:hAnsiTheme="majorHAnsi"/>
        </w:rPr>
        <w:t xml:space="preserve">If it is a more complex complaint, a complaint investigator usually completes the investigation.  </w:t>
      </w:r>
    </w:p>
    <w:p w14:paraId="33F0FA13" w14:textId="21100C2F" w:rsidR="00782A1C" w:rsidRPr="00AD3AE1" w:rsidRDefault="002509D9" w:rsidP="00337E1F">
      <w:pPr>
        <w:rPr>
          <w:rFonts w:asciiTheme="majorHAnsi" w:hAnsiTheme="majorHAnsi"/>
        </w:rPr>
      </w:pPr>
      <w:r w:rsidRPr="00AD3AE1">
        <w:rPr>
          <w:rFonts w:asciiTheme="majorHAnsi" w:hAnsiTheme="majorHAnsi"/>
        </w:rPr>
        <w:t xml:space="preserve">APS can complete an investigation as the same time as RCS but their process is a it different from RCS. </w:t>
      </w:r>
      <w:r w:rsidR="00782A1C" w:rsidRPr="00AD3AE1">
        <w:rPr>
          <w:rFonts w:asciiTheme="majorHAnsi" w:hAnsiTheme="majorHAnsi"/>
        </w:rPr>
        <w:t xml:space="preserve"> </w:t>
      </w:r>
    </w:p>
    <w:p w14:paraId="73901360" w14:textId="77777777" w:rsidR="00337E1F" w:rsidRPr="00AD3AE1" w:rsidRDefault="00337E1F" w:rsidP="00337E1F">
      <w:pPr>
        <w:rPr>
          <w:rFonts w:asciiTheme="majorHAnsi" w:hAnsiTheme="majorHAnsi"/>
          <w:b/>
          <w:bCs/>
          <w:u w:val="single"/>
        </w:rPr>
      </w:pPr>
    </w:p>
    <w:p w14:paraId="794439E4" w14:textId="77777777" w:rsidR="00337E1F" w:rsidRPr="00AD3AE1" w:rsidRDefault="00337E1F" w:rsidP="00337E1F">
      <w:pPr>
        <w:rPr>
          <w:rFonts w:asciiTheme="majorHAnsi" w:hAnsiTheme="majorHAnsi"/>
        </w:rPr>
      </w:pPr>
      <w:r w:rsidRPr="00AD3AE1">
        <w:rPr>
          <w:rFonts w:asciiTheme="majorHAnsi" w:hAnsiTheme="majorHAnsi"/>
          <w:b/>
          <w:bCs/>
        </w:rPr>
        <w:t>Best Practice Tips</w:t>
      </w:r>
      <w:r w:rsidRPr="00AD3AE1">
        <w:rPr>
          <w:rFonts w:asciiTheme="majorHAnsi" w:hAnsiTheme="majorHAnsi"/>
        </w:rPr>
        <w:t>:</w:t>
      </w:r>
    </w:p>
    <w:p w14:paraId="496DCEF2" w14:textId="77777777" w:rsidR="00337E1F" w:rsidRPr="00AD3AE1" w:rsidRDefault="00337E1F" w:rsidP="00337E1F">
      <w:pPr>
        <w:rPr>
          <w:rFonts w:asciiTheme="majorHAnsi" w:hAnsiTheme="majorHAnsi"/>
        </w:rPr>
      </w:pPr>
    </w:p>
    <w:p w14:paraId="14A90224" w14:textId="77777777" w:rsidR="00337E1F" w:rsidRPr="00AD3AE1" w:rsidRDefault="00337E1F" w:rsidP="00337E1F">
      <w:pPr>
        <w:numPr>
          <w:ilvl w:val="0"/>
          <w:numId w:val="3"/>
        </w:numPr>
        <w:rPr>
          <w:rFonts w:asciiTheme="majorHAnsi" w:hAnsiTheme="majorHAnsi"/>
        </w:rPr>
      </w:pPr>
      <w:r w:rsidRPr="00AD3AE1">
        <w:rPr>
          <w:rFonts w:asciiTheme="majorHAnsi" w:hAnsiTheme="majorHAnsi"/>
        </w:rPr>
        <w:t xml:space="preserve">Complete paperwork prior to admitting a resident. </w:t>
      </w:r>
    </w:p>
    <w:p w14:paraId="32C3EBF5" w14:textId="77777777" w:rsidR="00337E1F" w:rsidRPr="00AD3AE1" w:rsidRDefault="00337E1F" w:rsidP="00337E1F">
      <w:pPr>
        <w:numPr>
          <w:ilvl w:val="0"/>
          <w:numId w:val="3"/>
        </w:numPr>
        <w:rPr>
          <w:rFonts w:asciiTheme="majorHAnsi" w:hAnsiTheme="majorHAnsi"/>
        </w:rPr>
      </w:pPr>
      <w:r w:rsidRPr="00AD3AE1">
        <w:rPr>
          <w:rFonts w:asciiTheme="majorHAnsi" w:hAnsiTheme="majorHAnsi"/>
        </w:rPr>
        <w:t>Try to have some type of organization with staff and resident records.</w:t>
      </w:r>
    </w:p>
    <w:p w14:paraId="213FD76B" w14:textId="77777777" w:rsidR="00337E1F" w:rsidRPr="00AD3AE1" w:rsidRDefault="00337E1F" w:rsidP="00337E1F">
      <w:pPr>
        <w:numPr>
          <w:ilvl w:val="0"/>
          <w:numId w:val="3"/>
        </w:numPr>
        <w:rPr>
          <w:rFonts w:asciiTheme="majorHAnsi" w:hAnsiTheme="majorHAnsi"/>
        </w:rPr>
      </w:pPr>
      <w:r w:rsidRPr="00AD3AE1">
        <w:rPr>
          <w:rFonts w:asciiTheme="majorHAnsi" w:hAnsiTheme="majorHAnsi"/>
        </w:rPr>
        <w:t xml:space="preserve">Keep background checks for </w:t>
      </w:r>
      <w:r w:rsidRPr="00AD3AE1">
        <w:rPr>
          <w:rFonts w:asciiTheme="majorHAnsi" w:hAnsiTheme="majorHAnsi"/>
          <w:b/>
          <w:bCs/>
          <w:i/>
          <w:iCs/>
          <w:u w:val="single"/>
        </w:rPr>
        <w:t>everyone</w:t>
      </w:r>
      <w:r w:rsidRPr="00AD3AE1">
        <w:rPr>
          <w:rFonts w:asciiTheme="majorHAnsi" w:hAnsiTheme="majorHAnsi"/>
        </w:rPr>
        <w:t xml:space="preserve"> you ran a background check on in the past 24 months. This includes staff that never started or only stayed one day. </w:t>
      </w:r>
    </w:p>
    <w:p w14:paraId="2937ED4D" w14:textId="77777777" w:rsidR="00337E1F" w:rsidRPr="00AD3AE1" w:rsidRDefault="00337E1F" w:rsidP="00337E1F">
      <w:pPr>
        <w:numPr>
          <w:ilvl w:val="0"/>
          <w:numId w:val="3"/>
        </w:numPr>
        <w:rPr>
          <w:rFonts w:asciiTheme="majorHAnsi" w:hAnsiTheme="majorHAnsi"/>
        </w:rPr>
      </w:pPr>
      <w:r w:rsidRPr="00AD3AE1">
        <w:rPr>
          <w:rFonts w:asciiTheme="majorHAnsi" w:hAnsiTheme="majorHAnsi"/>
        </w:rPr>
        <w:t xml:space="preserve">Document </w:t>
      </w:r>
      <w:r w:rsidRPr="00AD3AE1">
        <w:rPr>
          <w:rFonts w:asciiTheme="majorHAnsi" w:hAnsiTheme="majorHAnsi"/>
          <w:b/>
          <w:bCs/>
          <w:i/>
          <w:iCs/>
          <w:u w:val="single"/>
        </w:rPr>
        <w:t>everything</w:t>
      </w:r>
      <w:r w:rsidRPr="00AD3AE1">
        <w:rPr>
          <w:rFonts w:asciiTheme="majorHAnsi" w:hAnsiTheme="majorHAnsi"/>
        </w:rPr>
        <w:t xml:space="preserve">. Save email communications and document date/time/topic/name of person you spoke with for telephone calls, text message communications etc. </w:t>
      </w:r>
    </w:p>
    <w:p w14:paraId="61977D1C" w14:textId="77777777" w:rsidR="00337E1F" w:rsidRPr="00AD3AE1" w:rsidRDefault="00337E1F" w:rsidP="00337E1F">
      <w:pPr>
        <w:numPr>
          <w:ilvl w:val="0"/>
          <w:numId w:val="3"/>
        </w:numPr>
        <w:rPr>
          <w:rFonts w:asciiTheme="majorHAnsi" w:hAnsiTheme="majorHAnsi"/>
        </w:rPr>
      </w:pPr>
      <w:r w:rsidRPr="00AD3AE1">
        <w:rPr>
          <w:rFonts w:asciiTheme="majorHAnsi" w:hAnsiTheme="majorHAnsi"/>
        </w:rPr>
        <w:t xml:space="preserve">Never falsify documents. If you didn’t document. Don’t do it after the Department scanned a copy or had you make a copy. </w:t>
      </w:r>
    </w:p>
    <w:p w14:paraId="0BA788B8" w14:textId="77777777" w:rsidR="00337E1F" w:rsidRPr="00AD3AE1" w:rsidRDefault="00337E1F" w:rsidP="00337E1F">
      <w:pPr>
        <w:numPr>
          <w:ilvl w:val="0"/>
          <w:numId w:val="3"/>
        </w:numPr>
        <w:rPr>
          <w:rFonts w:asciiTheme="majorHAnsi" w:hAnsiTheme="majorHAnsi"/>
        </w:rPr>
      </w:pPr>
      <w:r w:rsidRPr="00AD3AE1">
        <w:rPr>
          <w:rFonts w:asciiTheme="majorHAnsi" w:hAnsiTheme="majorHAnsi"/>
        </w:rPr>
        <w:t xml:space="preserve">Departments communicate with one another and Residential Care Services can pull up the CARE tool and case management notes. To some extent, they know what is going on with your residents. </w:t>
      </w:r>
    </w:p>
    <w:p w14:paraId="3534C3C0" w14:textId="77777777" w:rsidR="00337E1F" w:rsidRPr="00AD3AE1" w:rsidRDefault="00337E1F" w:rsidP="00337E1F">
      <w:pPr>
        <w:numPr>
          <w:ilvl w:val="0"/>
          <w:numId w:val="4"/>
        </w:numPr>
        <w:rPr>
          <w:rFonts w:asciiTheme="majorHAnsi" w:hAnsiTheme="majorHAnsi"/>
        </w:rPr>
      </w:pPr>
      <w:r w:rsidRPr="00AD3AE1">
        <w:rPr>
          <w:rFonts w:asciiTheme="majorHAnsi" w:hAnsiTheme="majorHAnsi"/>
        </w:rPr>
        <w:t xml:space="preserve">If the information in the statement of deficiency does not match the resident/staff list, it is okay to call the licensor or field manager to let them know so that a correction can be made. You can also do this if the WAC doesn’t match the citation. </w:t>
      </w:r>
    </w:p>
    <w:p w14:paraId="44466C79" w14:textId="77777777" w:rsidR="00337E1F" w:rsidRPr="00AD3AE1" w:rsidRDefault="00337E1F" w:rsidP="00337E1F">
      <w:pPr>
        <w:numPr>
          <w:ilvl w:val="0"/>
          <w:numId w:val="4"/>
        </w:numPr>
        <w:rPr>
          <w:rFonts w:asciiTheme="majorHAnsi" w:hAnsiTheme="majorHAnsi"/>
        </w:rPr>
      </w:pPr>
      <w:r w:rsidRPr="00AD3AE1">
        <w:rPr>
          <w:rFonts w:asciiTheme="majorHAnsi" w:hAnsiTheme="majorHAnsi"/>
        </w:rPr>
        <w:t xml:space="preserve">Understanding your AFH residents and finding the best match for your existing residents.   </w:t>
      </w:r>
    </w:p>
    <w:p w14:paraId="5CBC41FC" w14:textId="77777777" w:rsidR="00337E1F" w:rsidRPr="00AD3AE1" w:rsidRDefault="00337E1F" w:rsidP="00337E1F">
      <w:pPr>
        <w:numPr>
          <w:ilvl w:val="0"/>
          <w:numId w:val="4"/>
        </w:numPr>
        <w:rPr>
          <w:rFonts w:asciiTheme="majorHAnsi" w:hAnsiTheme="majorHAnsi"/>
        </w:rPr>
      </w:pPr>
      <w:r w:rsidRPr="00AD3AE1">
        <w:rPr>
          <w:rFonts w:asciiTheme="majorHAnsi" w:hAnsiTheme="majorHAnsi"/>
        </w:rPr>
        <w:t xml:space="preserve">Don’t change your policies to admit someone who might not be a good fit with existing residents. </w:t>
      </w:r>
    </w:p>
    <w:p w14:paraId="2EFD686A" w14:textId="77777777" w:rsidR="00697709" w:rsidRPr="00AD3AE1" w:rsidRDefault="00337E1F" w:rsidP="00337E1F">
      <w:pPr>
        <w:numPr>
          <w:ilvl w:val="0"/>
          <w:numId w:val="4"/>
        </w:numPr>
        <w:rPr>
          <w:rFonts w:asciiTheme="majorHAnsi" w:hAnsiTheme="majorHAnsi"/>
        </w:rPr>
      </w:pPr>
      <w:r w:rsidRPr="00AD3AE1">
        <w:rPr>
          <w:rFonts w:asciiTheme="majorHAnsi" w:hAnsiTheme="majorHAnsi"/>
        </w:rPr>
        <w:t xml:space="preserve">If a licensor determines there is failed practice with medical equipment, toxic substances or heaters, typically the licensor will take information directly from the medical equipment, the back of toxic substances, and stickers placed on heaters to write their citation.  </w:t>
      </w:r>
    </w:p>
    <w:p w14:paraId="3C20BC31" w14:textId="77777777" w:rsidR="00657A22" w:rsidRDefault="00657A22" w:rsidP="00697709">
      <w:pPr>
        <w:ind w:left="360"/>
      </w:pPr>
    </w:p>
    <w:p w14:paraId="0F6EDEDB" w14:textId="77777777" w:rsidR="00AF6E03" w:rsidRDefault="00AF6E03" w:rsidP="00697709">
      <w:pPr>
        <w:ind w:left="360"/>
        <w:rPr>
          <w:b/>
          <w:bCs/>
        </w:rPr>
      </w:pPr>
    </w:p>
    <w:p w14:paraId="47AD647C" w14:textId="65EE399C" w:rsidR="00697709" w:rsidRPr="00657A22" w:rsidRDefault="00697709" w:rsidP="00697709">
      <w:pPr>
        <w:ind w:left="360"/>
        <w:rPr>
          <w:b/>
          <w:bCs/>
        </w:rPr>
      </w:pPr>
      <w:r w:rsidRPr="00657A22">
        <w:rPr>
          <w:b/>
          <w:bCs/>
        </w:rPr>
        <w:t xml:space="preserve">Walker Warning sticker: </w:t>
      </w:r>
    </w:p>
    <w:p w14:paraId="3D3C4D32" w14:textId="4A9B6CE5" w:rsidR="00337E1F" w:rsidRPr="00337E1F" w:rsidRDefault="00697709" w:rsidP="00697709">
      <w:pPr>
        <w:ind w:left="360"/>
      </w:pPr>
      <w:r>
        <w:rPr>
          <w:noProof/>
        </w:rPr>
        <w:drawing>
          <wp:inline distT="0" distB="0" distL="0" distR="0" wp14:anchorId="1D27C110" wp14:editId="5E32BF4D">
            <wp:extent cx="2015401" cy="885825"/>
            <wp:effectExtent l="0" t="0" r="4445" b="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1667" cy="888579"/>
                    </a:xfrm>
                    <a:prstGeom prst="rect">
                      <a:avLst/>
                    </a:prstGeom>
                    <a:noFill/>
                    <a:ln>
                      <a:noFill/>
                    </a:ln>
                  </pic:spPr>
                </pic:pic>
              </a:graphicData>
            </a:graphic>
          </wp:inline>
        </w:drawing>
      </w:r>
    </w:p>
    <w:p w14:paraId="4D6A392D" w14:textId="77777777" w:rsidR="00337E1F" w:rsidRPr="00337E1F" w:rsidRDefault="00337E1F" w:rsidP="00337E1F">
      <w:pPr>
        <w:rPr>
          <w:b/>
          <w:bCs/>
          <w:u w:val="single"/>
        </w:rPr>
      </w:pPr>
    </w:p>
    <w:p w14:paraId="52DC1AD3" w14:textId="77777777" w:rsidR="00D66066" w:rsidRPr="00C92BBB" w:rsidRDefault="00D66066" w:rsidP="00C92BBB"/>
    <w:sectPr w:rsidR="00D66066" w:rsidRPr="00C92BBB" w:rsidSect="00DF4F80">
      <w:footerReference w:type="default" r:id="rId18"/>
      <w:headerReference w:type="first" r:id="rId19"/>
      <w:footerReference w:type="first" r:id="rId20"/>
      <w:pgSz w:w="12240" w:h="15840"/>
      <w:pgMar w:top="20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E27F" w14:textId="77777777" w:rsidR="00F11D07" w:rsidRDefault="00F11D07" w:rsidP="00841887">
      <w:r>
        <w:separator/>
      </w:r>
    </w:p>
  </w:endnote>
  <w:endnote w:type="continuationSeparator" w:id="0">
    <w:p w14:paraId="34A9FF4F" w14:textId="77777777" w:rsidR="00F11D07" w:rsidRDefault="00F11D07" w:rsidP="0084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93CF" w14:textId="77777777" w:rsidR="00841887" w:rsidRDefault="00841887">
    <w:pPr>
      <w:pStyle w:val="Footer"/>
    </w:pPr>
    <w:r>
      <w:rPr>
        <w:noProof/>
      </w:rPr>
      <mc:AlternateContent>
        <mc:Choice Requires="wps">
          <w:drawing>
            <wp:anchor distT="0" distB="0" distL="114300" distR="114300" simplePos="0" relativeHeight="251657215" behindDoc="0" locked="0" layoutInCell="1" allowOverlap="1" wp14:anchorId="3D5375DB" wp14:editId="45DD27C1">
              <wp:simplePos x="0" y="0"/>
              <wp:positionH relativeFrom="column">
                <wp:posOffset>-923925</wp:posOffset>
              </wp:positionH>
              <wp:positionV relativeFrom="paragraph">
                <wp:posOffset>-248285</wp:posOffset>
              </wp:positionV>
              <wp:extent cx="7762875" cy="857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7628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176771" w14:textId="77777777" w:rsidR="00D66066" w:rsidRPr="002444CF" w:rsidRDefault="00D66066" w:rsidP="00D66066">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Pr>
                              <w:rFonts w:ascii="Gotham-Book" w:hAnsi="Gotham-Book" w:cs="Gotham-Book"/>
                              <w:color w:val="FFFFFF"/>
                              <w:sz w:val="24"/>
                              <w:szCs w:val="24"/>
                            </w:rPr>
                            <w:t>3309 Capitol Blvd. SW</w:t>
                          </w:r>
                          <w:r w:rsidRPr="002444CF">
                            <w:rPr>
                              <w:rFonts w:ascii="Gotham-Book" w:hAnsi="Gotham-Book" w:cs="Gotham-Book"/>
                              <w:color w:val="FFFFFF"/>
                              <w:sz w:val="24"/>
                              <w:szCs w:val="24"/>
                            </w:rPr>
                            <w:t xml:space="preserve">, </w:t>
                          </w:r>
                          <w:r>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p w14:paraId="0248C33D" w14:textId="5C0F3955" w:rsidR="00841887" w:rsidRPr="002908F5" w:rsidRDefault="00841887" w:rsidP="0084188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375DB" id="Rectangle 2" o:spid="_x0000_s1026" style="position:absolute;margin-left:-72.75pt;margin-top:-19.55pt;width:611.25pt;height:67.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" fillcolor="#4f81bd [3204]" strokecolor="#243f60 [1604]" strokeweight="2pt">
              <v:textbox>
                <w:txbxContent>
                  <w:p w14:paraId="4F176771" w14:textId="77777777" w:rsidR="00D66066" w:rsidRPr="002444CF" w:rsidRDefault="00D66066" w:rsidP="00D66066">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Pr>
                        <w:rFonts w:ascii="Gotham-Book" w:hAnsi="Gotham-Book" w:cs="Gotham-Book"/>
                        <w:color w:val="FFFFFF"/>
                        <w:sz w:val="24"/>
                        <w:szCs w:val="24"/>
                      </w:rPr>
                      <w:t>3309 Capitol Blvd. SW</w:t>
                    </w:r>
                    <w:r w:rsidRPr="002444CF">
                      <w:rPr>
                        <w:rFonts w:ascii="Gotham-Book" w:hAnsi="Gotham-Book" w:cs="Gotham-Book"/>
                        <w:color w:val="FFFFFF"/>
                        <w:sz w:val="24"/>
                        <w:szCs w:val="24"/>
                      </w:rPr>
                      <w:t xml:space="preserve">, </w:t>
                    </w:r>
                    <w:r>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p w14:paraId="0248C33D" w14:textId="5C0F3955" w:rsidR="00841887" w:rsidRPr="002908F5" w:rsidRDefault="00841887" w:rsidP="00841887">
                    <w:pPr>
                      <w:jc w:val="center"/>
                      <w:rPr>
                        <w:sz w:val="16"/>
                        <w:szCs w:val="16"/>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997A" w14:textId="77777777" w:rsidR="00DF4F80" w:rsidRDefault="00DF4F80">
    <w:pPr>
      <w:pStyle w:val="Footer"/>
    </w:pPr>
    <w:r>
      <w:rPr>
        <w:noProof/>
      </w:rPr>
      <mc:AlternateContent>
        <mc:Choice Requires="wps">
          <w:drawing>
            <wp:anchor distT="0" distB="0" distL="114300" distR="114300" simplePos="0" relativeHeight="251660288" behindDoc="0" locked="0" layoutInCell="1" allowOverlap="1" wp14:anchorId="11C55D06" wp14:editId="5B8E6F18">
              <wp:simplePos x="0" y="0"/>
              <wp:positionH relativeFrom="column">
                <wp:posOffset>-904875</wp:posOffset>
              </wp:positionH>
              <wp:positionV relativeFrom="paragraph">
                <wp:posOffset>-238760</wp:posOffset>
              </wp:positionV>
              <wp:extent cx="7762875" cy="857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7628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C6A8B" w14:textId="29D0BB77" w:rsidR="00DF4F80" w:rsidRPr="002444CF" w:rsidRDefault="00DF4F80" w:rsidP="00DF4F80">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sidR="00E66AC5">
                            <w:rPr>
                              <w:rFonts w:ascii="Gotham-Book" w:hAnsi="Gotham-Book" w:cs="Gotham-Book"/>
                              <w:color w:val="FFFFFF"/>
                              <w:sz w:val="24"/>
                              <w:szCs w:val="24"/>
                            </w:rPr>
                            <w:t>3309 Capitol Blvd.</w:t>
                          </w:r>
                          <w:r w:rsidR="00D66066">
                            <w:rPr>
                              <w:rFonts w:ascii="Gotham-Book" w:hAnsi="Gotham-Book" w:cs="Gotham-Book"/>
                              <w:color w:val="FFFFFF"/>
                              <w:sz w:val="24"/>
                              <w:szCs w:val="24"/>
                            </w:rPr>
                            <w:t xml:space="preserve"> SW</w:t>
                          </w:r>
                          <w:r w:rsidRPr="002444CF">
                            <w:rPr>
                              <w:rFonts w:ascii="Gotham-Book" w:hAnsi="Gotham-Book" w:cs="Gotham-Book"/>
                              <w:color w:val="FFFFFF"/>
                              <w:sz w:val="24"/>
                              <w:szCs w:val="24"/>
                            </w:rPr>
                            <w:t xml:space="preserve">, </w:t>
                          </w:r>
                          <w:r w:rsidR="00D66066">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55D06" id="Rectangle 5" o:spid="_x0000_s1027" style="position:absolute;margin-left:-71.25pt;margin-top:-18.8pt;width:611.25pt;height: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" fillcolor="#4f81bd [3204]" strokecolor="#243f60 [1604]" strokeweight="2pt">
              <v:textbox>
                <w:txbxContent>
                  <w:p w14:paraId="30FC6A8B" w14:textId="29D0BB77" w:rsidR="00DF4F80" w:rsidRPr="002444CF" w:rsidRDefault="00DF4F80" w:rsidP="00DF4F80">
                    <w:pPr>
                      <w:jc w:val="center"/>
                      <w:rPr>
                        <w:sz w:val="24"/>
                        <w:szCs w:val="24"/>
                      </w:rPr>
                    </w:pPr>
                    <w:r w:rsidRPr="002444CF">
                      <w:rPr>
                        <w:rFonts w:ascii="Gotham-Book" w:hAnsi="Gotham-Book" w:cs="Gotham-Book"/>
                        <w:color w:val="FFA720"/>
                        <w:sz w:val="24"/>
                        <w:szCs w:val="24"/>
                      </w:rPr>
                      <w:t xml:space="preserve">P: </w:t>
                    </w:r>
                    <w:r w:rsidRPr="002444CF">
                      <w:rPr>
                        <w:rFonts w:ascii="Gotham-Book" w:hAnsi="Gotham-Book" w:cs="Gotham-Book"/>
                        <w:color w:val="FFFFFF"/>
                        <w:sz w:val="24"/>
                        <w:szCs w:val="24"/>
                      </w:rPr>
                      <w:t xml:space="preserve">1.360.754.3329 </w:t>
                    </w:r>
                    <w:r w:rsidRPr="002444CF">
                      <w:rPr>
                        <w:rFonts w:ascii="Gotham-Book" w:hAnsi="Gotham-Book" w:cs="Gotham-Book"/>
                        <w:color w:val="FFA720"/>
                        <w:sz w:val="24"/>
                        <w:szCs w:val="24"/>
                      </w:rPr>
                      <w:t xml:space="preserve">F: </w:t>
                    </w:r>
                    <w:r w:rsidRPr="002444CF">
                      <w:rPr>
                        <w:rFonts w:ascii="Gotham-Book" w:hAnsi="Gotham-Book" w:cs="Gotham-Book"/>
                        <w:color w:val="FFFFFF"/>
                        <w:sz w:val="24"/>
                        <w:szCs w:val="24"/>
                      </w:rPr>
                      <w:t xml:space="preserve">1.360.943.6653 </w:t>
                    </w:r>
                    <w:r w:rsidRPr="002444CF">
                      <w:rPr>
                        <w:rFonts w:ascii="Gotham-Book" w:hAnsi="Gotham-Book" w:cs="Gotham-Book"/>
                        <w:color w:val="FFA720"/>
                        <w:sz w:val="24"/>
                        <w:szCs w:val="24"/>
                      </w:rPr>
                      <w:t xml:space="preserve">T: </w:t>
                    </w:r>
                    <w:r w:rsidRPr="002444CF">
                      <w:rPr>
                        <w:rFonts w:ascii="Gotham-Book" w:hAnsi="Gotham-Book" w:cs="Gotham-Book"/>
                        <w:color w:val="FFFFFF"/>
                        <w:sz w:val="24"/>
                        <w:szCs w:val="24"/>
                      </w:rPr>
                      <w:t xml:space="preserve">1.888.439.8999 </w:t>
                    </w:r>
                    <w:r w:rsidR="00E66AC5">
                      <w:rPr>
                        <w:rFonts w:ascii="Gotham-Book" w:hAnsi="Gotham-Book" w:cs="Gotham-Book"/>
                        <w:color w:val="FFFFFF"/>
                        <w:sz w:val="24"/>
                        <w:szCs w:val="24"/>
                      </w:rPr>
                      <w:t>3309 Capitol Blvd.</w:t>
                    </w:r>
                    <w:r w:rsidR="00D66066">
                      <w:rPr>
                        <w:rFonts w:ascii="Gotham-Book" w:hAnsi="Gotham-Book" w:cs="Gotham-Book"/>
                        <w:color w:val="FFFFFF"/>
                        <w:sz w:val="24"/>
                        <w:szCs w:val="24"/>
                      </w:rPr>
                      <w:t xml:space="preserve"> SW</w:t>
                    </w:r>
                    <w:r w:rsidRPr="002444CF">
                      <w:rPr>
                        <w:rFonts w:ascii="Gotham-Book" w:hAnsi="Gotham-Book" w:cs="Gotham-Book"/>
                        <w:color w:val="FFFFFF"/>
                        <w:sz w:val="24"/>
                        <w:szCs w:val="24"/>
                      </w:rPr>
                      <w:t xml:space="preserve">, </w:t>
                    </w:r>
                    <w:r w:rsidR="00D66066">
                      <w:rPr>
                        <w:rFonts w:ascii="Gotham-Book" w:hAnsi="Gotham-Book" w:cs="Gotham-Book"/>
                        <w:color w:val="FFFFFF"/>
                        <w:sz w:val="24"/>
                        <w:szCs w:val="24"/>
                      </w:rPr>
                      <w:t xml:space="preserve">Tumwater, </w:t>
                    </w:r>
                    <w:r w:rsidRPr="002444CF">
                      <w:rPr>
                        <w:rFonts w:ascii="Gotham-Book" w:hAnsi="Gotham-Book" w:cs="Gotham-Book"/>
                        <w:color w:val="FFFFFF"/>
                        <w:sz w:val="24"/>
                        <w:szCs w:val="24"/>
                      </w:rPr>
                      <w:t xml:space="preserve">WA 98501 </w:t>
                    </w:r>
                    <w:r w:rsidRPr="002444CF">
                      <w:rPr>
                        <w:rFonts w:ascii="Gotham-Book" w:hAnsi="Gotham-Book" w:cs="Gotham-Book"/>
                        <w:color w:val="FFA720"/>
                        <w:sz w:val="24"/>
                        <w:szCs w:val="24"/>
                      </w:rPr>
                      <w:t>www.AdultFamilyHomeCouncil.org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3F09" w14:textId="77777777" w:rsidR="00F11D07" w:rsidRDefault="00F11D07" w:rsidP="00841887">
      <w:r>
        <w:separator/>
      </w:r>
    </w:p>
  </w:footnote>
  <w:footnote w:type="continuationSeparator" w:id="0">
    <w:p w14:paraId="7A60081B" w14:textId="77777777" w:rsidR="00F11D07" w:rsidRDefault="00F11D07" w:rsidP="0084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5CBC" w14:textId="77777777" w:rsidR="00DF4F80" w:rsidRDefault="00DF4F80">
    <w:pPr>
      <w:pStyle w:val="Header"/>
    </w:pPr>
    <w:r>
      <w:rPr>
        <w:rFonts w:ascii="Times New Roman" w:hAnsi="Times New Roman"/>
        <w:noProof/>
        <w:sz w:val="24"/>
        <w:szCs w:val="24"/>
      </w:rPr>
      <w:drawing>
        <wp:anchor distT="36576" distB="36576" distL="36576" distR="36576" simplePos="0" relativeHeight="251658240" behindDoc="0" locked="0" layoutInCell="1" allowOverlap="1" wp14:anchorId="504ADEBE" wp14:editId="635011BD">
          <wp:simplePos x="0" y="0"/>
          <wp:positionH relativeFrom="column">
            <wp:posOffset>1586230</wp:posOffset>
          </wp:positionH>
          <wp:positionV relativeFrom="paragraph">
            <wp:posOffset>-292100</wp:posOffset>
          </wp:positionV>
          <wp:extent cx="2783840" cy="1116330"/>
          <wp:effectExtent l="0" t="0" r="0" b="7620"/>
          <wp:wrapNone/>
          <wp:docPr id="1" name="Picture 1" descr="AFH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HC-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111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753F"/>
    <w:multiLevelType w:val="hybridMultilevel"/>
    <w:tmpl w:val="6BB2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E5121"/>
    <w:multiLevelType w:val="hybridMultilevel"/>
    <w:tmpl w:val="2B888840"/>
    <w:lvl w:ilvl="0" w:tplc="97DEA6E2">
      <w:start w:val="1"/>
      <w:numFmt w:val="bullet"/>
      <w:lvlText w:val=""/>
      <w:lvlJc w:val="left"/>
      <w:pPr>
        <w:tabs>
          <w:tab w:val="num" w:pos="720"/>
        </w:tabs>
        <w:ind w:left="720" w:hanging="360"/>
      </w:pPr>
      <w:rPr>
        <w:rFonts w:ascii="Symbol" w:hAnsi="Symbol" w:hint="default"/>
      </w:rPr>
    </w:lvl>
    <w:lvl w:ilvl="1" w:tplc="CAAA75B4" w:tentative="1">
      <w:start w:val="1"/>
      <w:numFmt w:val="bullet"/>
      <w:lvlText w:val=""/>
      <w:lvlJc w:val="left"/>
      <w:pPr>
        <w:tabs>
          <w:tab w:val="num" w:pos="1440"/>
        </w:tabs>
        <w:ind w:left="1440" w:hanging="360"/>
      </w:pPr>
      <w:rPr>
        <w:rFonts w:ascii="Symbol" w:hAnsi="Symbol" w:hint="default"/>
      </w:rPr>
    </w:lvl>
    <w:lvl w:ilvl="2" w:tplc="0D329804" w:tentative="1">
      <w:start w:val="1"/>
      <w:numFmt w:val="bullet"/>
      <w:lvlText w:val=""/>
      <w:lvlJc w:val="left"/>
      <w:pPr>
        <w:tabs>
          <w:tab w:val="num" w:pos="2160"/>
        </w:tabs>
        <w:ind w:left="2160" w:hanging="360"/>
      </w:pPr>
      <w:rPr>
        <w:rFonts w:ascii="Symbol" w:hAnsi="Symbol" w:hint="default"/>
      </w:rPr>
    </w:lvl>
    <w:lvl w:ilvl="3" w:tplc="49F80970" w:tentative="1">
      <w:start w:val="1"/>
      <w:numFmt w:val="bullet"/>
      <w:lvlText w:val=""/>
      <w:lvlJc w:val="left"/>
      <w:pPr>
        <w:tabs>
          <w:tab w:val="num" w:pos="2880"/>
        </w:tabs>
        <w:ind w:left="2880" w:hanging="360"/>
      </w:pPr>
      <w:rPr>
        <w:rFonts w:ascii="Symbol" w:hAnsi="Symbol" w:hint="default"/>
      </w:rPr>
    </w:lvl>
    <w:lvl w:ilvl="4" w:tplc="7C461B94" w:tentative="1">
      <w:start w:val="1"/>
      <w:numFmt w:val="bullet"/>
      <w:lvlText w:val=""/>
      <w:lvlJc w:val="left"/>
      <w:pPr>
        <w:tabs>
          <w:tab w:val="num" w:pos="3600"/>
        </w:tabs>
        <w:ind w:left="3600" w:hanging="360"/>
      </w:pPr>
      <w:rPr>
        <w:rFonts w:ascii="Symbol" w:hAnsi="Symbol" w:hint="default"/>
      </w:rPr>
    </w:lvl>
    <w:lvl w:ilvl="5" w:tplc="7D5CA2D8" w:tentative="1">
      <w:start w:val="1"/>
      <w:numFmt w:val="bullet"/>
      <w:lvlText w:val=""/>
      <w:lvlJc w:val="left"/>
      <w:pPr>
        <w:tabs>
          <w:tab w:val="num" w:pos="4320"/>
        </w:tabs>
        <w:ind w:left="4320" w:hanging="360"/>
      </w:pPr>
      <w:rPr>
        <w:rFonts w:ascii="Symbol" w:hAnsi="Symbol" w:hint="default"/>
      </w:rPr>
    </w:lvl>
    <w:lvl w:ilvl="6" w:tplc="BFEC6832" w:tentative="1">
      <w:start w:val="1"/>
      <w:numFmt w:val="bullet"/>
      <w:lvlText w:val=""/>
      <w:lvlJc w:val="left"/>
      <w:pPr>
        <w:tabs>
          <w:tab w:val="num" w:pos="5040"/>
        </w:tabs>
        <w:ind w:left="5040" w:hanging="360"/>
      </w:pPr>
      <w:rPr>
        <w:rFonts w:ascii="Symbol" w:hAnsi="Symbol" w:hint="default"/>
      </w:rPr>
    </w:lvl>
    <w:lvl w:ilvl="7" w:tplc="D45EBEA0" w:tentative="1">
      <w:start w:val="1"/>
      <w:numFmt w:val="bullet"/>
      <w:lvlText w:val=""/>
      <w:lvlJc w:val="left"/>
      <w:pPr>
        <w:tabs>
          <w:tab w:val="num" w:pos="5760"/>
        </w:tabs>
        <w:ind w:left="5760" w:hanging="360"/>
      </w:pPr>
      <w:rPr>
        <w:rFonts w:ascii="Symbol" w:hAnsi="Symbol" w:hint="default"/>
      </w:rPr>
    </w:lvl>
    <w:lvl w:ilvl="8" w:tplc="B912952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3C73E02"/>
    <w:multiLevelType w:val="hybridMultilevel"/>
    <w:tmpl w:val="18D297C2"/>
    <w:lvl w:ilvl="0" w:tplc="833E3FA0">
      <w:start w:val="1"/>
      <w:numFmt w:val="bullet"/>
      <w:lvlText w:val="•"/>
      <w:lvlJc w:val="left"/>
      <w:pPr>
        <w:tabs>
          <w:tab w:val="num" w:pos="720"/>
        </w:tabs>
        <w:ind w:left="720" w:hanging="360"/>
      </w:pPr>
      <w:rPr>
        <w:rFonts w:ascii="Arial" w:hAnsi="Arial" w:hint="default"/>
      </w:rPr>
    </w:lvl>
    <w:lvl w:ilvl="1" w:tplc="451E0108" w:tentative="1">
      <w:start w:val="1"/>
      <w:numFmt w:val="bullet"/>
      <w:lvlText w:val="•"/>
      <w:lvlJc w:val="left"/>
      <w:pPr>
        <w:tabs>
          <w:tab w:val="num" w:pos="1440"/>
        </w:tabs>
        <w:ind w:left="1440" w:hanging="360"/>
      </w:pPr>
      <w:rPr>
        <w:rFonts w:ascii="Arial" w:hAnsi="Arial" w:hint="default"/>
      </w:rPr>
    </w:lvl>
    <w:lvl w:ilvl="2" w:tplc="F2680BB0" w:tentative="1">
      <w:start w:val="1"/>
      <w:numFmt w:val="bullet"/>
      <w:lvlText w:val="•"/>
      <w:lvlJc w:val="left"/>
      <w:pPr>
        <w:tabs>
          <w:tab w:val="num" w:pos="2160"/>
        </w:tabs>
        <w:ind w:left="2160" w:hanging="360"/>
      </w:pPr>
      <w:rPr>
        <w:rFonts w:ascii="Arial" w:hAnsi="Arial" w:hint="default"/>
      </w:rPr>
    </w:lvl>
    <w:lvl w:ilvl="3" w:tplc="9CCEFA98" w:tentative="1">
      <w:start w:val="1"/>
      <w:numFmt w:val="bullet"/>
      <w:lvlText w:val="•"/>
      <w:lvlJc w:val="left"/>
      <w:pPr>
        <w:tabs>
          <w:tab w:val="num" w:pos="2880"/>
        </w:tabs>
        <w:ind w:left="2880" w:hanging="360"/>
      </w:pPr>
      <w:rPr>
        <w:rFonts w:ascii="Arial" w:hAnsi="Arial" w:hint="default"/>
      </w:rPr>
    </w:lvl>
    <w:lvl w:ilvl="4" w:tplc="3CC0FC10" w:tentative="1">
      <w:start w:val="1"/>
      <w:numFmt w:val="bullet"/>
      <w:lvlText w:val="•"/>
      <w:lvlJc w:val="left"/>
      <w:pPr>
        <w:tabs>
          <w:tab w:val="num" w:pos="3600"/>
        </w:tabs>
        <w:ind w:left="3600" w:hanging="360"/>
      </w:pPr>
      <w:rPr>
        <w:rFonts w:ascii="Arial" w:hAnsi="Arial" w:hint="default"/>
      </w:rPr>
    </w:lvl>
    <w:lvl w:ilvl="5" w:tplc="BB5EABF2" w:tentative="1">
      <w:start w:val="1"/>
      <w:numFmt w:val="bullet"/>
      <w:lvlText w:val="•"/>
      <w:lvlJc w:val="left"/>
      <w:pPr>
        <w:tabs>
          <w:tab w:val="num" w:pos="4320"/>
        </w:tabs>
        <w:ind w:left="4320" w:hanging="360"/>
      </w:pPr>
      <w:rPr>
        <w:rFonts w:ascii="Arial" w:hAnsi="Arial" w:hint="default"/>
      </w:rPr>
    </w:lvl>
    <w:lvl w:ilvl="6" w:tplc="FA425AC4" w:tentative="1">
      <w:start w:val="1"/>
      <w:numFmt w:val="bullet"/>
      <w:lvlText w:val="•"/>
      <w:lvlJc w:val="left"/>
      <w:pPr>
        <w:tabs>
          <w:tab w:val="num" w:pos="5040"/>
        </w:tabs>
        <w:ind w:left="5040" w:hanging="360"/>
      </w:pPr>
      <w:rPr>
        <w:rFonts w:ascii="Arial" w:hAnsi="Arial" w:hint="default"/>
      </w:rPr>
    </w:lvl>
    <w:lvl w:ilvl="7" w:tplc="8376AAA0" w:tentative="1">
      <w:start w:val="1"/>
      <w:numFmt w:val="bullet"/>
      <w:lvlText w:val="•"/>
      <w:lvlJc w:val="left"/>
      <w:pPr>
        <w:tabs>
          <w:tab w:val="num" w:pos="5760"/>
        </w:tabs>
        <w:ind w:left="5760" w:hanging="360"/>
      </w:pPr>
      <w:rPr>
        <w:rFonts w:ascii="Arial" w:hAnsi="Arial" w:hint="default"/>
      </w:rPr>
    </w:lvl>
    <w:lvl w:ilvl="8" w:tplc="4A667C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D711E"/>
    <w:multiLevelType w:val="hybridMultilevel"/>
    <w:tmpl w:val="311EA014"/>
    <w:lvl w:ilvl="0" w:tplc="D076F4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87"/>
    <w:rsid w:val="00083F37"/>
    <w:rsid w:val="000A4CAB"/>
    <w:rsid w:val="000E79FD"/>
    <w:rsid w:val="001142DC"/>
    <w:rsid w:val="00180620"/>
    <w:rsid w:val="001A716C"/>
    <w:rsid w:val="002136EC"/>
    <w:rsid w:val="002253CF"/>
    <w:rsid w:val="002444CF"/>
    <w:rsid w:val="002509D9"/>
    <w:rsid w:val="002908F5"/>
    <w:rsid w:val="002B4014"/>
    <w:rsid w:val="0030389E"/>
    <w:rsid w:val="00337E1F"/>
    <w:rsid w:val="003A181D"/>
    <w:rsid w:val="003B6B64"/>
    <w:rsid w:val="0040184A"/>
    <w:rsid w:val="004A0087"/>
    <w:rsid w:val="00511317"/>
    <w:rsid w:val="005953C9"/>
    <w:rsid w:val="00612AF6"/>
    <w:rsid w:val="00642D34"/>
    <w:rsid w:val="00657A22"/>
    <w:rsid w:val="00673EB9"/>
    <w:rsid w:val="00697709"/>
    <w:rsid w:val="00755A07"/>
    <w:rsid w:val="00782A1C"/>
    <w:rsid w:val="007D267D"/>
    <w:rsid w:val="007E5566"/>
    <w:rsid w:val="008175DA"/>
    <w:rsid w:val="00841887"/>
    <w:rsid w:val="008574A8"/>
    <w:rsid w:val="00884911"/>
    <w:rsid w:val="008B4197"/>
    <w:rsid w:val="008B621E"/>
    <w:rsid w:val="008E5BE0"/>
    <w:rsid w:val="0096246A"/>
    <w:rsid w:val="009976F3"/>
    <w:rsid w:val="0099796D"/>
    <w:rsid w:val="009C7AAF"/>
    <w:rsid w:val="009F5BDC"/>
    <w:rsid w:val="00A13BAF"/>
    <w:rsid w:val="00AD3AE1"/>
    <w:rsid w:val="00AF6E03"/>
    <w:rsid w:val="00B114CD"/>
    <w:rsid w:val="00B2300D"/>
    <w:rsid w:val="00B26D8C"/>
    <w:rsid w:val="00C20591"/>
    <w:rsid w:val="00C5444E"/>
    <w:rsid w:val="00C90038"/>
    <w:rsid w:val="00C92BBB"/>
    <w:rsid w:val="00CB2604"/>
    <w:rsid w:val="00CD5808"/>
    <w:rsid w:val="00CF5DBE"/>
    <w:rsid w:val="00D020F5"/>
    <w:rsid w:val="00D66066"/>
    <w:rsid w:val="00D71B8F"/>
    <w:rsid w:val="00DE1F37"/>
    <w:rsid w:val="00DF4F80"/>
    <w:rsid w:val="00E66AC5"/>
    <w:rsid w:val="00EA67E9"/>
    <w:rsid w:val="00F11D07"/>
    <w:rsid w:val="00F55071"/>
    <w:rsid w:val="00F6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6CAC"/>
  <w15:docId w15:val="{1C5FA8C0-86F5-437F-BC7D-61A8E14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14"/>
    <w:pPr>
      <w:spacing w:after="0" w:line="240" w:lineRule="auto"/>
    </w:pPr>
    <w:rPr>
      <w:rFonts w:ascii="Calibri" w:hAnsi="Calibri" w:cs="Calibri"/>
    </w:rPr>
  </w:style>
  <w:style w:type="paragraph" w:styleId="Heading1">
    <w:name w:val="heading 1"/>
    <w:basedOn w:val="Normal"/>
    <w:link w:val="Heading1Char"/>
    <w:uiPriority w:val="9"/>
    <w:qFormat/>
    <w:rsid w:val="002B4014"/>
    <w:pPr>
      <w:keepNext/>
      <w:spacing w:before="480" w:line="276"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887"/>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41887"/>
  </w:style>
  <w:style w:type="paragraph" w:styleId="Footer">
    <w:name w:val="footer"/>
    <w:basedOn w:val="Normal"/>
    <w:link w:val="FooterChar"/>
    <w:uiPriority w:val="99"/>
    <w:unhideWhenUsed/>
    <w:rsid w:val="0084188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41887"/>
  </w:style>
  <w:style w:type="paragraph" w:styleId="BalloonText">
    <w:name w:val="Balloon Text"/>
    <w:basedOn w:val="Normal"/>
    <w:link w:val="BalloonTextChar"/>
    <w:uiPriority w:val="99"/>
    <w:semiHidden/>
    <w:unhideWhenUsed/>
    <w:rsid w:val="00841887"/>
    <w:rPr>
      <w:rFonts w:ascii="Tahoma" w:hAnsi="Tahoma" w:cs="Tahoma"/>
      <w:sz w:val="16"/>
      <w:szCs w:val="16"/>
    </w:rPr>
  </w:style>
  <w:style w:type="character" w:customStyle="1" w:styleId="BalloonTextChar">
    <w:name w:val="Balloon Text Char"/>
    <w:basedOn w:val="DefaultParagraphFont"/>
    <w:link w:val="BalloonText"/>
    <w:uiPriority w:val="99"/>
    <w:semiHidden/>
    <w:rsid w:val="00841887"/>
    <w:rPr>
      <w:rFonts w:ascii="Tahoma" w:hAnsi="Tahoma" w:cs="Tahoma"/>
      <w:sz w:val="16"/>
      <w:szCs w:val="16"/>
    </w:rPr>
  </w:style>
  <w:style w:type="paragraph" w:styleId="ListParagraph">
    <w:name w:val="List Paragraph"/>
    <w:basedOn w:val="Normal"/>
    <w:uiPriority w:val="34"/>
    <w:qFormat/>
    <w:rsid w:val="002444CF"/>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2B4014"/>
    <w:rPr>
      <w:rFonts w:ascii="Cambria" w:hAnsi="Cambria" w:cs="Times New Roman"/>
      <w:b/>
      <w:bCs/>
      <w:color w:val="365F91"/>
      <w:kern w:val="36"/>
      <w:sz w:val="28"/>
      <w:szCs w:val="28"/>
    </w:rPr>
  </w:style>
  <w:style w:type="character" w:styleId="Hyperlink">
    <w:name w:val="Hyperlink"/>
    <w:basedOn w:val="DefaultParagraphFont"/>
    <w:uiPriority w:val="99"/>
    <w:unhideWhenUsed/>
    <w:rsid w:val="002B4014"/>
    <w:rPr>
      <w:color w:val="0000FF"/>
      <w:u w:val="single"/>
    </w:rPr>
  </w:style>
  <w:style w:type="character" w:styleId="UnresolvedMention">
    <w:name w:val="Unresolved Mention"/>
    <w:basedOn w:val="DefaultParagraphFont"/>
    <w:uiPriority w:val="99"/>
    <w:semiHidden/>
    <w:unhideWhenUsed/>
    <w:rsid w:val="0033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890">
      <w:bodyDiv w:val="1"/>
      <w:marLeft w:val="0"/>
      <w:marRight w:val="0"/>
      <w:marTop w:val="0"/>
      <w:marBottom w:val="0"/>
      <w:divBdr>
        <w:top w:val="none" w:sz="0" w:space="0" w:color="auto"/>
        <w:left w:val="none" w:sz="0" w:space="0" w:color="auto"/>
        <w:bottom w:val="none" w:sz="0" w:space="0" w:color="auto"/>
        <w:right w:val="none" w:sz="0" w:space="0" w:color="auto"/>
      </w:divBdr>
    </w:div>
    <w:div w:id="1411582232">
      <w:bodyDiv w:val="1"/>
      <w:marLeft w:val="0"/>
      <w:marRight w:val="0"/>
      <w:marTop w:val="0"/>
      <w:marBottom w:val="0"/>
      <w:divBdr>
        <w:top w:val="none" w:sz="0" w:space="0" w:color="auto"/>
        <w:left w:val="none" w:sz="0" w:space="0" w:color="auto"/>
        <w:bottom w:val="none" w:sz="0" w:space="0" w:color="auto"/>
        <w:right w:val="none" w:sz="0" w:space="0" w:color="auto"/>
      </w:divBdr>
      <w:divsChild>
        <w:div w:id="1473599866">
          <w:marLeft w:val="0"/>
          <w:marRight w:val="0"/>
          <w:marTop w:val="0"/>
          <w:marBottom w:val="0"/>
          <w:divBdr>
            <w:top w:val="none" w:sz="0" w:space="0" w:color="auto"/>
            <w:left w:val="none" w:sz="0" w:space="0" w:color="auto"/>
            <w:bottom w:val="none" w:sz="0" w:space="0" w:color="auto"/>
            <w:right w:val="none" w:sz="0" w:space="0" w:color="auto"/>
          </w:divBdr>
        </w:div>
        <w:div w:id="848644802">
          <w:marLeft w:val="0"/>
          <w:marRight w:val="0"/>
          <w:marTop w:val="0"/>
          <w:marBottom w:val="0"/>
          <w:divBdr>
            <w:top w:val="none" w:sz="0" w:space="0" w:color="auto"/>
            <w:left w:val="none" w:sz="0" w:space="0" w:color="auto"/>
            <w:bottom w:val="none" w:sz="0" w:space="0" w:color="auto"/>
            <w:right w:val="none" w:sz="0" w:space="0" w:color="auto"/>
          </w:divBdr>
        </w:div>
        <w:div w:id="217009540">
          <w:marLeft w:val="0"/>
          <w:marRight w:val="0"/>
          <w:marTop w:val="0"/>
          <w:marBottom w:val="0"/>
          <w:divBdr>
            <w:top w:val="none" w:sz="0" w:space="0" w:color="auto"/>
            <w:left w:val="none" w:sz="0" w:space="0" w:color="auto"/>
            <w:bottom w:val="none" w:sz="0" w:space="0" w:color="auto"/>
            <w:right w:val="none" w:sz="0" w:space="0" w:color="auto"/>
          </w:divBdr>
        </w:div>
      </w:divsChild>
    </w:div>
    <w:div w:id="1460953063">
      <w:bodyDiv w:val="1"/>
      <w:marLeft w:val="0"/>
      <w:marRight w:val="0"/>
      <w:marTop w:val="0"/>
      <w:marBottom w:val="0"/>
      <w:divBdr>
        <w:top w:val="none" w:sz="0" w:space="0" w:color="auto"/>
        <w:left w:val="none" w:sz="0" w:space="0" w:color="auto"/>
        <w:bottom w:val="none" w:sz="0" w:space="0" w:color="auto"/>
        <w:right w:val="none" w:sz="0" w:space="0" w:color="auto"/>
      </w:divBdr>
      <w:divsChild>
        <w:div w:id="621545920">
          <w:marLeft w:val="0"/>
          <w:marRight w:val="0"/>
          <w:marTop w:val="0"/>
          <w:marBottom w:val="0"/>
          <w:divBdr>
            <w:top w:val="none" w:sz="0" w:space="0" w:color="auto"/>
            <w:left w:val="none" w:sz="0" w:space="0" w:color="auto"/>
            <w:bottom w:val="none" w:sz="0" w:space="0" w:color="auto"/>
            <w:right w:val="none" w:sz="0" w:space="0" w:color="auto"/>
          </w:divBdr>
        </w:div>
        <w:div w:id="579801469">
          <w:marLeft w:val="0"/>
          <w:marRight w:val="0"/>
          <w:marTop w:val="0"/>
          <w:marBottom w:val="0"/>
          <w:divBdr>
            <w:top w:val="none" w:sz="0" w:space="0" w:color="auto"/>
            <w:left w:val="none" w:sz="0" w:space="0" w:color="auto"/>
            <w:bottom w:val="none" w:sz="0" w:space="0" w:color="auto"/>
            <w:right w:val="none" w:sz="0" w:space="0" w:color="auto"/>
          </w:divBdr>
        </w:div>
        <w:div w:id="1705131628">
          <w:marLeft w:val="0"/>
          <w:marRight w:val="0"/>
          <w:marTop w:val="0"/>
          <w:marBottom w:val="0"/>
          <w:divBdr>
            <w:top w:val="none" w:sz="0" w:space="0" w:color="auto"/>
            <w:left w:val="none" w:sz="0" w:space="0" w:color="auto"/>
            <w:bottom w:val="none" w:sz="0" w:space="0" w:color="auto"/>
            <w:right w:val="none" w:sz="0" w:space="0" w:color="auto"/>
          </w:divBdr>
        </w:div>
        <w:div w:id="1495024851">
          <w:marLeft w:val="0"/>
          <w:marRight w:val="0"/>
          <w:marTop w:val="0"/>
          <w:marBottom w:val="0"/>
          <w:divBdr>
            <w:top w:val="none" w:sz="0" w:space="0" w:color="auto"/>
            <w:left w:val="none" w:sz="0" w:space="0" w:color="auto"/>
            <w:bottom w:val="none" w:sz="0" w:space="0" w:color="auto"/>
            <w:right w:val="none" w:sz="0" w:space="0" w:color="auto"/>
          </w:divBdr>
        </w:div>
        <w:div w:id="1620182475">
          <w:marLeft w:val="0"/>
          <w:marRight w:val="0"/>
          <w:marTop w:val="0"/>
          <w:marBottom w:val="0"/>
          <w:divBdr>
            <w:top w:val="none" w:sz="0" w:space="0" w:color="auto"/>
            <w:left w:val="none" w:sz="0" w:space="0" w:color="auto"/>
            <w:bottom w:val="none" w:sz="0" w:space="0" w:color="auto"/>
            <w:right w:val="none" w:sz="0" w:space="0" w:color="auto"/>
          </w:divBdr>
        </w:div>
        <w:div w:id="1413627477">
          <w:marLeft w:val="0"/>
          <w:marRight w:val="0"/>
          <w:marTop w:val="0"/>
          <w:marBottom w:val="0"/>
          <w:divBdr>
            <w:top w:val="none" w:sz="0" w:space="0" w:color="auto"/>
            <w:left w:val="none" w:sz="0" w:space="0" w:color="auto"/>
            <w:bottom w:val="none" w:sz="0" w:space="0" w:color="auto"/>
            <w:right w:val="none" w:sz="0" w:space="0" w:color="auto"/>
          </w:divBdr>
        </w:div>
      </w:divsChild>
    </w:div>
    <w:div w:id="2039313839">
      <w:bodyDiv w:val="1"/>
      <w:marLeft w:val="0"/>
      <w:marRight w:val="0"/>
      <w:marTop w:val="0"/>
      <w:marBottom w:val="0"/>
      <w:divBdr>
        <w:top w:val="none" w:sz="0" w:space="0" w:color="auto"/>
        <w:left w:val="none" w:sz="0" w:space="0" w:color="auto"/>
        <w:bottom w:val="none" w:sz="0" w:space="0" w:color="auto"/>
        <w:right w:val="none" w:sz="0" w:space="0" w:color="auto"/>
      </w:divBdr>
      <w:divsChild>
        <w:div w:id="563570350">
          <w:marLeft w:val="0"/>
          <w:marRight w:val="0"/>
          <w:marTop w:val="0"/>
          <w:marBottom w:val="0"/>
          <w:divBdr>
            <w:top w:val="none" w:sz="0" w:space="0" w:color="auto"/>
            <w:left w:val="none" w:sz="0" w:space="0" w:color="auto"/>
            <w:bottom w:val="none" w:sz="0" w:space="0" w:color="auto"/>
            <w:right w:val="none" w:sz="0" w:space="0" w:color="auto"/>
          </w:divBdr>
        </w:div>
        <w:div w:id="996614378">
          <w:marLeft w:val="0"/>
          <w:marRight w:val="0"/>
          <w:marTop w:val="0"/>
          <w:marBottom w:val="0"/>
          <w:divBdr>
            <w:top w:val="none" w:sz="0" w:space="0" w:color="auto"/>
            <w:left w:val="none" w:sz="0" w:space="0" w:color="auto"/>
            <w:bottom w:val="none" w:sz="0" w:space="0" w:color="auto"/>
            <w:right w:val="none" w:sz="0" w:space="0" w:color="auto"/>
          </w:divBdr>
        </w:div>
        <w:div w:id="830144582">
          <w:marLeft w:val="0"/>
          <w:marRight w:val="0"/>
          <w:marTop w:val="0"/>
          <w:marBottom w:val="0"/>
          <w:divBdr>
            <w:top w:val="none" w:sz="0" w:space="0" w:color="auto"/>
            <w:left w:val="none" w:sz="0" w:space="0" w:color="auto"/>
            <w:bottom w:val="none" w:sz="0" w:space="0" w:color="auto"/>
            <w:right w:val="none" w:sz="0" w:space="0" w:color="auto"/>
          </w:divBdr>
        </w:div>
        <w:div w:id="356736836">
          <w:marLeft w:val="0"/>
          <w:marRight w:val="0"/>
          <w:marTop w:val="0"/>
          <w:marBottom w:val="0"/>
          <w:divBdr>
            <w:top w:val="none" w:sz="0" w:space="0" w:color="auto"/>
            <w:left w:val="none" w:sz="0" w:space="0" w:color="auto"/>
            <w:bottom w:val="none" w:sz="0" w:space="0" w:color="auto"/>
            <w:right w:val="none" w:sz="0" w:space="0" w:color="auto"/>
          </w:divBdr>
        </w:div>
        <w:div w:id="1297955881">
          <w:marLeft w:val="0"/>
          <w:marRight w:val="0"/>
          <w:marTop w:val="0"/>
          <w:marBottom w:val="0"/>
          <w:divBdr>
            <w:top w:val="none" w:sz="0" w:space="0" w:color="auto"/>
            <w:left w:val="none" w:sz="0" w:space="0" w:color="auto"/>
            <w:bottom w:val="none" w:sz="0" w:space="0" w:color="auto"/>
            <w:right w:val="none" w:sz="0" w:space="0" w:color="auto"/>
          </w:divBdr>
        </w:div>
        <w:div w:id="81027028">
          <w:marLeft w:val="0"/>
          <w:marRight w:val="0"/>
          <w:marTop w:val="0"/>
          <w:marBottom w:val="0"/>
          <w:divBdr>
            <w:top w:val="none" w:sz="0" w:space="0" w:color="auto"/>
            <w:left w:val="none" w:sz="0" w:space="0" w:color="auto"/>
            <w:bottom w:val="none" w:sz="0" w:space="0" w:color="auto"/>
            <w:right w:val="none" w:sz="0" w:space="0" w:color="auto"/>
          </w:divBdr>
        </w:div>
        <w:div w:id="1644114614">
          <w:marLeft w:val="0"/>
          <w:marRight w:val="0"/>
          <w:marTop w:val="0"/>
          <w:marBottom w:val="0"/>
          <w:divBdr>
            <w:top w:val="none" w:sz="0" w:space="0" w:color="auto"/>
            <w:left w:val="none" w:sz="0" w:space="0" w:color="auto"/>
            <w:bottom w:val="none" w:sz="0" w:space="0" w:color="auto"/>
            <w:right w:val="none" w:sz="0" w:space="0" w:color="auto"/>
          </w:divBdr>
        </w:div>
        <w:div w:id="52125271">
          <w:marLeft w:val="0"/>
          <w:marRight w:val="0"/>
          <w:marTop w:val="0"/>
          <w:marBottom w:val="0"/>
          <w:divBdr>
            <w:top w:val="none" w:sz="0" w:space="0" w:color="auto"/>
            <w:left w:val="none" w:sz="0" w:space="0" w:color="auto"/>
            <w:bottom w:val="none" w:sz="0" w:space="0" w:color="auto"/>
            <w:right w:val="none" w:sz="0" w:space="0" w:color="auto"/>
          </w:divBdr>
        </w:div>
        <w:div w:id="1401057193">
          <w:marLeft w:val="0"/>
          <w:marRight w:val="0"/>
          <w:marTop w:val="0"/>
          <w:marBottom w:val="0"/>
          <w:divBdr>
            <w:top w:val="none" w:sz="0" w:space="0" w:color="auto"/>
            <w:left w:val="none" w:sz="0" w:space="0" w:color="auto"/>
            <w:bottom w:val="none" w:sz="0" w:space="0" w:color="auto"/>
            <w:right w:val="none" w:sz="0" w:space="0" w:color="auto"/>
          </w:divBdr>
        </w:div>
        <w:div w:id="1551964812">
          <w:marLeft w:val="0"/>
          <w:marRight w:val="0"/>
          <w:marTop w:val="0"/>
          <w:marBottom w:val="0"/>
          <w:divBdr>
            <w:top w:val="none" w:sz="0" w:space="0" w:color="auto"/>
            <w:left w:val="none" w:sz="0" w:space="0" w:color="auto"/>
            <w:bottom w:val="none" w:sz="0" w:space="0" w:color="auto"/>
            <w:right w:val="none" w:sz="0" w:space="0" w:color="auto"/>
          </w:divBdr>
        </w:div>
        <w:div w:id="181403783">
          <w:marLeft w:val="0"/>
          <w:marRight w:val="0"/>
          <w:marTop w:val="0"/>
          <w:marBottom w:val="0"/>
          <w:divBdr>
            <w:top w:val="none" w:sz="0" w:space="0" w:color="auto"/>
            <w:left w:val="none" w:sz="0" w:space="0" w:color="auto"/>
            <w:bottom w:val="none" w:sz="0" w:space="0" w:color="auto"/>
            <w:right w:val="none" w:sz="0" w:space="0" w:color="auto"/>
          </w:divBdr>
        </w:div>
        <w:div w:id="112095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yeonsafety@lni.w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i-covid@doh.wa.go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dshs.wa.gov/sites/default/files/ALTSA/rcs/documents/AFH%20Guideboo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70.128.060" TargetMode="External"/><Relationship Id="rId5" Type="http://schemas.openxmlformats.org/officeDocument/2006/relationships/webSettings" Target="webSettings.xml"/><Relationship Id="rId15" Type="http://schemas.openxmlformats.org/officeDocument/2006/relationships/hyperlink" Target="http://app.leg.wa.gov/RCW/default.aspx?cite=74.34.035" TargetMode="External"/><Relationship Id="rId10" Type="http://schemas.openxmlformats.org/officeDocument/2006/relationships/hyperlink" Target="https://www.osha.gov/nationally-recognized-testing-laboratory-program/current-list-of-nrt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pp.leg.wa.gov/RCW/default.aspx?cite=74.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EF9A-AF87-4F2D-A609-1AE691FB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WSRCC-JOHN</dc:creator>
  <cp:lastModifiedBy>Brenna Botsford</cp:lastModifiedBy>
  <cp:revision>60</cp:revision>
  <cp:lastPrinted>2021-06-02T18:27:00Z</cp:lastPrinted>
  <dcterms:created xsi:type="dcterms:W3CDTF">2021-06-01T18:18:00Z</dcterms:created>
  <dcterms:modified xsi:type="dcterms:W3CDTF">2021-09-15T21:19:00Z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-1242618661</vt:i4>
  </property>
</Properties>
</file>