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0955" w14:textId="77777777" w:rsidR="00A97492" w:rsidRDefault="00A97492" w:rsidP="009469B4">
      <w:pPr>
        <w:jc w:val="center"/>
        <w:rPr>
          <w:rFonts w:cstheme="minorHAnsi"/>
          <w:b/>
          <w:bCs/>
        </w:rPr>
      </w:pPr>
    </w:p>
    <w:p w14:paraId="6F97CB1B" w14:textId="77777777" w:rsidR="00A97492" w:rsidRDefault="00A97492" w:rsidP="009469B4">
      <w:pPr>
        <w:jc w:val="center"/>
        <w:rPr>
          <w:rFonts w:cstheme="minorHAnsi"/>
          <w:b/>
          <w:bCs/>
        </w:rPr>
      </w:pPr>
    </w:p>
    <w:p w14:paraId="374DC69D" w14:textId="2A3FE097" w:rsidR="009469B4" w:rsidRPr="00D95CD7" w:rsidRDefault="009469B4" w:rsidP="009469B4">
      <w:pPr>
        <w:jc w:val="center"/>
        <w:rPr>
          <w:rFonts w:cstheme="minorHAnsi"/>
          <w:b/>
          <w:bCs/>
        </w:rPr>
      </w:pPr>
      <w:r w:rsidRPr="00D95CD7">
        <w:rPr>
          <w:rFonts w:cstheme="minorHAnsi"/>
          <w:b/>
          <w:bCs/>
        </w:rPr>
        <w:t>Resident Funds Information</w:t>
      </w:r>
    </w:p>
    <w:p w14:paraId="3DC95385" w14:textId="77777777" w:rsidR="009469B4" w:rsidRPr="00D95CD7" w:rsidRDefault="009469B4" w:rsidP="009469B4">
      <w:pPr>
        <w:jc w:val="center"/>
        <w:rPr>
          <w:rFonts w:cstheme="minorHAnsi"/>
          <w:b/>
          <w:bCs/>
        </w:rPr>
      </w:pPr>
    </w:p>
    <w:p w14:paraId="6F95F107" w14:textId="77777777" w:rsidR="009469B4" w:rsidRPr="00D95CD7" w:rsidRDefault="009469B4" w:rsidP="009469B4">
      <w:pPr>
        <w:shd w:val="clear" w:color="auto" w:fill="FFFFFF"/>
        <w:spacing w:before="75" w:after="150"/>
        <w:outlineLvl w:val="2"/>
        <w:rPr>
          <w:rFonts w:eastAsia="Times New Roman" w:cstheme="minorHAnsi"/>
          <w:b/>
          <w:bCs/>
          <w:color w:val="000000"/>
        </w:rPr>
      </w:pPr>
      <w:r w:rsidRPr="00D95CD7">
        <w:rPr>
          <w:rFonts w:eastAsia="Times New Roman" w:cstheme="minorHAnsi"/>
          <w:b/>
          <w:bCs/>
          <w:color w:val="000000"/>
        </w:rPr>
        <w:t>WAC 388-76-10560</w:t>
      </w:r>
    </w:p>
    <w:p w14:paraId="664C7FF8" w14:textId="77777777" w:rsidR="009469B4" w:rsidRPr="00D95CD7" w:rsidRDefault="009469B4" w:rsidP="009469B4">
      <w:pPr>
        <w:shd w:val="clear" w:color="auto" w:fill="FFFFFF"/>
        <w:spacing w:before="75" w:after="150"/>
        <w:outlineLvl w:val="2"/>
        <w:rPr>
          <w:rFonts w:eastAsia="Times New Roman" w:cstheme="minorHAnsi"/>
          <w:b/>
          <w:bCs/>
          <w:color w:val="000000"/>
        </w:rPr>
      </w:pPr>
      <w:r w:rsidRPr="00D95CD7">
        <w:rPr>
          <w:rFonts w:eastAsia="Times New Roman" w:cstheme="minorHAnsi"/>
          <w:b/>
          <w:bCs/>
          <w:color w:val="000000"/>
        </w:rPr>
        <w:t>Resident rights—Adult family home management of resident financial affairs.</w:t>
      </w:r>
    </w:p>
    <w:p w14:paraId="1FD632A0"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(1) Each resident has the right to manage their own financial affairs. The adult family home must not require any resident to deposit their personal funds with the home.</w:t>
      </w:r>
    </w:p>
    <w:p w14:paraId="7760DC51"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(2) If the adult family home agrees to manage a resident's personal funds, the home must:</w:t>
      </w:r>
    </w:p>
    <w:p w14:paraId="59F11878"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 xml:space="preserve">(a) Have a written authorization from the </w:t>
      </w:r>
      <w:proofErr w:type="gramStart"/>
      <w:r w:rsidRPr="00D95CD7">
        <w:rPr>
          <w:rFonts w:eastAsia="Times New Roman" w:cstheme="minorHAnsi"/>
          <w:color w:val="000000"/>
        </w:rPr>
        <w:t>resident;</w:t>
      </w:r>
      <w:proofErr w:type="gramEnd"/>
    </w:p>
    <w:p w14:paraId="114495FA"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 xml:space="preserve">(b) Develop and maintain a system that assures a full, complete, and separate accounting of each resident's personal funds given to the home on the resident's </w:t>
      </w:r>
      <w:proofErr w:type="gramStart"/>
      <w:r w:rsidRPr="00D95CD7">
        <w:rPr>
          <w:rFonts w:eastAsia="Times New Roman" w:cstheme="minorHAnsi"/>
          <w:color w:val="000000"/>
        </w:rPr>
        <w:t>behalf;</w:t>
      </w:r>
      <w:proofErr w:type="gramEnd"/>
    </w:p>
    <w:p w14:paraId="0F3A5E42"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 xml:space="preserve">(c) Ensure the resident's funds are not mixed with the home's funds or with the funds of any person other than another resident. If funds are pooled accounts, there must be a separate accounting for each resident's </w:t>
      </w:r>
      <w:proofErr w:type="gramStart"/>
      <w:r w:rsidRPr="00D95CD7">
        <w:rPr>
          <w:rFonts w:eastAsia="Times New Roman" w:cstheme="minorHAnsi"/>
          <w:color w:val="000000"/>
        </w:rPr>
        <w:t>share;</w:t>
      </w:r>
      <w:proofErr w:type="gramEnd"/>
    </w:p>
    <w:p w14:paraId="4D3EB390"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 xml:space="preserve">(d) Deposit a resident's personal funds in excess of one hundred dollars in an interest-bearing account(s) separate from any of the home's operating accounts and that credits all interest earned on residents' funds to that </w:t>
      </w:r>
      <w:proofErr w:type="gramStart"/>
      <w:r w:rsidRPr="00D95CD7">
        <w:rPr>
          <w:rFonts w:eastAsia="Times New Roman" w:cstheme="minorHAnsi"/>
          <w:color w:val="000000"/>
        </w:rPr>
        <w:t>account;</w:t>
      </w:r>
      <w:proofErr w:type="gramEnd"/>
    </w:p>
    <w:p w14:paraId="797B6DE1"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(e) Ensure that the account or accounts are held in a financial institution as defined in RCW </w:t>
      </w:r>
      <w:hyperlink r:id="rId8" w:history="1">
        <w:r w:rsidRPr="00D95CD7">
          <w:rPr>
            <w:rFonts w:eastAsia="Times New Roman" w:cstheme="minorHAnsi"/>
            <w:b/>
            <w:bCs/>
            <w:color w:val="2B674D"/>
            <w:u w:val="single"/>
          </w:rPr>
          <w:t>30A.22.040</w:t>
        </w:r>
      </w:hyperlink>
      <w:r w:rsidRPr="00D95CD7">
        <w:rPr>
          <w:rFonts w:eastAsia="Times New Roman" w:cstheme="minorHAnsi"/>
          <w:color w:val="000000"/>
        </w:rPr>
        <w:t>, and notify each resident in writing of the name, address, and location of the depository.</w:t>
      </w:r>
    </w:p>
    <w:p w14:paraId="0F335763"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(f) Keep a resident's personal funds that do not exceed one hundred dollars in a noninterest-bearing account, interest-bearing account, or petty cash fund; and</w:t>
      </w:r>
    </w:p>
    <w:p w14:paraId="3FAC342D"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(g) Provide an individual financial record when requested by the resident or the resident's legal representative.</w:t>
      </w:r>
    </w:p>
    <w:p w14:paraId="4C5A7990" w14:textId="77777777" w:rsidR="009469B4" w:rsidRPr="00D95CD7" w:rsidRDefault="009469B4" w:rsidP="009469B4">
      <w:pPr>
        <w:shd w:val="clear" w:color="auto" w:fill="FFFFFF"/>
        <w:spacing w:before="75" w:after="150"/>
        <w:outlineLvl w:val="2"/>
        <w:rPr>
          <w:rFonts w:eastAsia="Times New Roman" w:cstheme="minorHAnsi"/>
          <w:b/>
          <w:bCs/>
          <w:color w:val="000000"/>
        </w:rPr>
      </w:pPr>
      <w:r w:rsidRPr="00D95CD7">
        <w:rPr>
          <w:rFonts w:eastAsia="Times New Roman" w:cstheme="minorHAnsi"/>
          <w:b/>
          <w:bCs/>
          <w:color w:val="000000"/>
        </w:rPr>
        <w:t>RCW </w:t>
      </w:r>
      <w:hyperlink r:id="rId9" w:history="1">
        <w:r w:rsidRPr="00D95CD7">
          <w:rPr>
            <w:rFonts w:eastAsia="Times New Roman" w:cstheme="minorHAnsi"/>
            <w:b/>
            <w:bCs/>
            <w:color w:val="2B674D"/>
            <w:u w:val="single"/>
          </w:rPr>
          <w:t>70.129.040</w:t>
        </w:r>
      </w:hyperlink>
    </w:p>
    <w:p w14:paraId="45F673A3" w14:textId="77777777" w:rsidR="009469B4" w:rsidRPr="00D95CD7" w:rsidRDefault="009469B4" w:rsidP="009469B4">
      <w:pPr>
        <w:shd w:val="clear" w:color="auto" w:fill="FFFFFF"/>
        <w:spacing w:before="75" w:after="150"/>
        <w:outlineLvl w:val="2"/>
        <w:rPr>
          <w:rFonts w:eastAsia="Times New Roman" w:cstheme="minorHAnsi"/>
          <w:b/>
          <w:bCs/>
          <w:color w:val="000000"/>
        </w:rPr>
      </w:pPr>
      <w:r w:rsidRPr="00D95CD7">
        <w:rPr>
          <w:rFonts w:eastAsia="Times New Roman" w:cstheme="minorHAnsi"/>
          <w:b/>
          <w:bCs/>
          <w:color w:val="000000"/>
        </w:rPr>
        <w:t>Protection of resident's funds—Financial affairs rights.</w:t>
      </w:r>
    </w:p>
    <w:p w14:paraId="1ABF0464"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(1) The resident has the right to manage his or her financial affairs, and the facility may not require residents to deposit their personal funds with the facility.</w:t>
      </w:r>
    </w:p>
    <w:p w14:paraId="2D183171"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(2) Upon written authorization of a resident, if the facility agrees to manage the resident's personal funds, the facility must hold, safeguard, manage, and account for the personal funds of the resident deposited with the facility as specified in this section.</w:t>
      </w:r>
    </w:p>
    <w:p w14:paraId="142D8FF9"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 xml:space="preserve">(a) The facility must deposit a resident's personal funds </w:t>
      </w:r>
      <w:proofErr w:type="gramStart"/>
      <w:r w:rsidRPr="00D95CD7">
        <w:rPr>
          <w:rFonts w:eastAsia="Times New Roman" w:cstheme="minorHAnsi"/>
          <w:color w:val="000000"/>
        </w:rPr>
        <w:t>in excess of</w:t>
      </w:r>
      <w:proofErr w:type="gramEnd"/>
      <w:r w:rsidRPr="00D95CD7">
        <w:rPr>
          <w:rFonts w:eastAsia="Times New Roman" w:cstheme="minorHAnsi"/>
          <w:color w:val="000000"/>
        </w:rPr>
        <w:t xml:space="preserve"> one hundred dollars in an interest-bearing account or accounts that is separate from any of the facility's operating accounts, and that credits all interest earned on residents' funds to that account. In pooled accounts, there must be a separate accounting for each resident's share.</w:t>
      </w:r>
    </w:p>
    <w:p w14:paraId="32F907B8"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(b) The facility must maintain a resident's personal funds that do not exceed one hundred dollars in a noninterest-bearing account, interest-bearing account, or petty cash fund.</w:t>
      </w:r>
    </w:p>
    <w:p w14:paraId="16A9E388"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(3) The facility must establish and maintain a system that assures a full and complete and separate accounting of each resident's personal funds entrusted to the facility on the resident's behalf.</w:t>
      </w:r>
    </w:p>
    <w:p w14:paraId="0E8A890A"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(a) The system must preclude any commingling of resident funds with facility funds or with the funds of any person other than another resident.</w:t>
      </w:r>
    </w:p>
    <w:p w14:paraId="73B7F3AF"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lastRenderedPageBreak/>
        <w:t>(b) The individual financial record must be available on request to the resident or his or her legal representative.</w:t>
      </w:r>
    </w:p>
    <w:p w14:paraId="730C8379"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(4) Upon the death of a resident with personal funds deposited with the facility, the facility must convey within thirty days the resident's funds, and a final accounting of those funds, to the individual or probate jurisdiction administering the resident's estate; but in the case of a resident who received long-term care services paid for by the state, the funds and accounting shall be sent to the state of Washington, department of social and health services, office of financial recovery. The department shall establish a release procedure for use for burial expenses.</w:t>
      </w:r>
    </w:p>
    <w:p w14:paraId="421C9F62"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(5) If any funds in excess of one hundred dollars are paid to an adult family home by the resident or a representative of the resident, as a security deposit for performance of the resident's obligations, or as prepayment of charges beyond the first month's residency, the funds shall be deposited by the adult family home in an interest-bearing account that is separate from any of the home's operating accounts, and that credits all interest earned on the resident's funds to that account. In pooled accounts, there must be a separate accounting for each resident's share. The account or accounts shall be in a financial institution as defined by *RCW </w:t>
      </w:r>
      <w:hyperlink r:id="rId10" w:history="1">
        <w:r w:rsidRPr="00D95CD7">
          <w:rPr>
            <w:rFonts w:eastAsia="Times New Roman" w:cstheme="minorHAnsi"/>
            <w:b/>
            <w:bCs/>
            <w:color w:val="2B674D"/>
            <w:u w:val="single"/>
          </w:rPr>
          <w:t>30.22.041</w:t>
        </w:r>
      </w:hyperlink>
      <w:r w:rsidRPr="00D95CD7">
        <w:rPr>
          <w:rFonts w:eastAsia="Times New Roman" w:cstheme="minorHAnsi"/>
          <w:color w:val="000000"/>
        </w:rPr>
        <w:t>, and the resident shall be notified in writing of the name, address, and location of the depository. The adult family home may not commingle resident funds from these accounts with the adult family home's funds or with the funds of any person other than another resident. The individual resident's account record shall be available upon request by the resident or the resident's representative.</w:t>
      </w:r>
    </w:p>
    <w:p w14:paraId="5F1B5821" w14:textId="46B38161"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 xml:space="preserve">(6) The adult family home shall provide the resident or the resident's representative full disclosure in writing, prior to the receipt of any funds for a deposit, security, prepaid charges, or any other fees or charges, specifying what the funds are paid for and the basis for retaining any portion of the funds if the resident dies, is hospitalized, or is transferred or discharged from the adult family home. The disclosure must be in a language that the resident or the resident's representative </w:t>
      </w:r>
      <w:r w:rsidR="00A97492" w:rsidRPr="00D95CD7">
        <w:rPr>
          <w:rFonts w:eastAsia="Times New Roman" w:cstheme="minorHAnsi"/>
          <w:color w:val="000000"/>
        </w:rPr>
        <w:t>understands and</w:t>
      </w:r>
      <w:r w:rsidRPr="00D95CD7">
        <w:rPr>
          <w:rFonts w:eastAsia="Times New Roman" w:cstheme="minorHAnsi"/>
          <w:color w:val="000000"/>
        </w:rPr>
        <w:t xml:space="preserve"> be acknowledged in writing by the resident or the resident's representative. The adult family home shall retain a copy of the disclosure and the acknowledgment. The adult family home may not retain funds for reasonable wear and tear by the resident or for any basis that would violate RCW </w:t>
      </w:r>
      <w:hyperlink r:id="rId11" w:history="1">
        <w:r w:rsidRPr="00D95CD7">
          <w:rPr>
            <w:rFonts w:eastAsia="Times New Roman" w:cstheme="minorHAnsi"/>
            <w:b/>
            <w:bCs/>
            <w:color w:val="2B674D"/>
            <w:u w:val="single"/>
          </w:rPr>
          <w:t>70.129.150</w:t>
        </w:r>
      </w:hyperlink>
      <w:r w:rsidRPr="00D95CD7">
        <w:rPr>
          <w:rFonts w:eastAsia="Times New Roman" w:cstheme="minorHAnsi"/>
          <w:color w:val="000000"/>
        </w:rPr>
        <w:t>.</w:t>
      </w:r>
    </w:p>
    <w:p w14:paraId="3710C88C"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(7) Funds paid by the resident or the resident's representative to the adult family home, which the adult family home in turn pays to a placement agency or person, shall be governed by the disclosure requirements of this section. If the resident then dies, is hospitalized, or is transferred or discharged from the adult family home, and is entitled to any refund of funds under this section or RCW </w:t>
      </w:r>
      <w:hyperlink r:id="rId12" w:history="1">
        <w:r w:rsidRPr="00D95CD7">
          <w:rPr>
            <w:rFonts w:eastAsia="Times New Roman" w:cstheme="minorHAnsi"/>
            <w:b/>
            <w:bCs/>
            <w:color w:val="2B674D"/>
            <w:u w:val="single"/>
          </w:rPr>
          <w:t>70.129.150</w:t>
        </w:r>
      </w:hyperlink>
      <w:r w:rsidRPr="00D95CD7">
        <w:rPr>
          <w:rFonts w:eastAsia="Times New Roman" w:cstheme="minorHAnsi"/>
          <w:color w:val="000000"/>
        </w:rPr>
        <w:t>, the adult family home shall refund the funds to the resident or the resident's representative within thirty days of the resident leaving the adult family home, and may not require the resident to obtain the refund from the placement agency or person.</w:t>
      </w:r>
    </w:p>
    <w:p w14:paraId="19EA858B"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(8) If, during the stay of the resident, the status of the adult family home licensee or ownership is changed or transferred to another, any funds in the resident's accounts affected by the change or transfer shall simultaneously be deposited in an equivalent account or accounts by the successor or new licensee or owner, who shall promptly notify the resident or the resident's representative in writing of the name, address, and location of the new depository.</w:t>
      </w:r>
    </w:p>
    <w:p w14:paraId="5511E170" w14:textId="77777777" w:rsidR="009469B4" w:rsidRPr="00D95CD7" w:rsidRDefault="009469B4" w:rsidP="009469B4">
      <w:pPr>
        <w:shd w:val="clear" w:color="auto" w:fill="FFFFFF"/>
        <w:ind w:firstLine="720"/>
        <w:rPr>
          <w:rFonts w:eastAsia="Times New Roman" w:cstheme="minorHAnsi"/>
          <w:color w:val="000000"/>
        </w:rPr>
      </w:pPr>
      <w:r w:rsidRPr="00D95CD7">
        <w:rPr>
          <w:rFonts w:eastAsia="Times New Roman" w:cstheme="minorHAnsi"/>
          <w:color w:val="000000"/>
        </w:rPr>
        <w:t>(9) Because it is a matter of great public importance to protect residents who need long-term care from deceptive disclosures and unfair retention of deposits, fees, or prepaid charges by adult family homes, a violation of this section or RCW </w:t>
      </w:r>
      <w:hyperlink r:id="rId13" w:history="1">
        <w:r w:rsidRPr="00D95CD7">
          <w:rPr>
            <w:rFonts w:eastAsia="Times New Roman" w:cstheme="minorHAnsi"/>
            <w:b/>
            <w:bCs/>
            <w:color w:val="2B674D"/>
            <w:u w:val="single"/>
          </w:rPr>
          <w:t>70.129.150</w:t>
        </w:r>
      </w:hyperlink>
      <w:r w:rsidRPr="00D95CD7">
        <w:rPr>
          <w:rFonts w:eastAsia="Times New Roman" w:cstheme="minorHAnsi"/>
          <w:color w:val="000000"/>
        </w:rPr>
        <w:t> shall be construed for purposes of the consumer protection act, chapter </w:t>
      </w:r>
      <w:hyperlink r:id="rId14" w:history="1">
        <w:r w:rsidRPr="00D95CD7">
          <w:rPr>
            <w:rFonts w:eastAsia="Times New Roman" w:cstheme="minorHAnsi"/>
            <w:b/>
            <w:bCs/>
            <w:color w:val="2B674D"/>
            <w:u w:val="single"/>
          </w:rPr>
          <w:t>19.86</w:t>
        </w:r>
      </w:hyperlink>
      <w:r w:rsidRPr="00D95CD7">
        <w:rPr>
          <w:rFonts w:eastAsia="Times New Roman" w:cstheme="minorHAnsi"/>
          <w:color w:val="000000"/>
        </w:rPr>
        <w:t xml:space="preserve"> RCW, to constitute an unfair or deceptive act or practice or an unfair method of competition in the conduct of trade or commerce. The resident's claim to any funds paid </w:t>
      </w:r>
      <w:r w:rsidRPr="00D95CD7">
        <w:rPr>
          <w:rFonts w:eastAsia="Times New Roman" w:cstheme="minorHAnsi"/>
          <w:color w:val="000000"/>
        </w:rPr>
        <w:lastRenderedPageBreak/>
        <w:t>under this section shall be prior to that of any creditor of the adult family home, its owner, or licensee, even if such funds are commingled.</w:t>
      </w:r>
    </w:p>
    <w:p w14:paraId="2A026B84" w14:textId="3D701C45" w:rsidR="009469B4" w:rsidRPr="00D95CD7" w:rsidRDefault="009469B4" w:rsidP="009469B4">
      <w:pPr>
        <w:rPr>
          <w:rFonts w:cstheme="minorHAnsi"/>
          <w:b/>
          <w:bCs/>
        </w:rPr>
      </w:pPr>
      <w:r w:rsidRPr="00D95CD7">
        <w:rPr>
          <w:rFonts w:cstheme="minorHAnsi"/>
          <w:b/>
          <w:bCs/>
        </w:rPr>
        <w:t xml:space="preserve">If a resident wants to spend their money, make sure that it is documented in the </w:t>
      </w:r>
      <w:r w:rsidR="00A97492" w:rsidRPr="00D95CD7">
        <w:rPr>
          <w:rFonts w:cstheme="minorHAnsi"/>
          <w:b/>
          <w:bCs/>
        </w:rPr>
        <w:t>resident’s</w:t>
      </w:r>
      <w:r w:rsidRPr="00D95CD7">
        <w:rPr>
          <w:rFonts w:cstheme="minorHAnsi"/>
          <w:b/>
          <w:bCs/>
        </w:rPr>
        <w:t xml:space="preserve"> care plan that they were reminded to make good choices with their spending habits.  </w:t>
      </w:r>
    </w:p>
    <w:p w14:paraId="39E37B06" w14:textId="55D2C44B" w:rsidR="009469B4" w:rsidRPr="00B47CD9" w:rsidRDefault="009469B4" w:rsidP="009469B4">
      <w:pPr>
        <w:rPr>
          <w:rFonts w:cstheme="minorHAnsi"/>
          <w:b/>
          <w:bCs/>
        </w:rPr>
      </w:pPr>
      <w:r w:rsidRPr="00D95CD7">
        <w:rPr>
          <w:rFonts w:cstheme="minorHAnsi"/>
          <w:b/>
          <w:bCs/>
        </w:rPr>
        <w:t xml:space="preserve">If a resident wants to go out to eat or purchase their own items for the AFH, make sure that this is documented in the </w:t>
      </w:r>
      <w:r w:rsidR="00A97492" w:rsidRPr="00D95CD7">
        <w:rPr>
          <w:rFonts w:cstheme="minorHAnsi"/>
          <w:b/>
          <w:bCs/>
        </w:rPr>
        <w:t>resident’s</w:t>
      </w:r>
      <w:r w:rsidRPr="00D95CD7">
        <w:rPr>
          <w:rFonts w:cstheme="minorHAnsi"/>
          <w:b/>
          <w:bCs/>
        </w:rPr>
        <w:t xml:space="preserve"> care plan. </w:t>
      </w:r>
    </w:p>
    <w:p w14:paraId="52DC1AD3" w14:textId="77777777" w:rsidR="00D66066" w:rsidRPr="00C92BBB" w:rsidRDefault="00D66066" w:rsidP="00C92BBB"/>
    <w:sectPr w:rsidR="00D66066" w:rsidRPr="00C92BBB" w:rsidSect="00DF4F80">
      <w:footerReference w:type="default" r:id="rId15"/>
      <w:headerReference w:type="first" r:id="rId16"/>
      <w:footerReference w:type="first" r:id="rId17"/>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CC20" w14:textId="77777777" w:rsidR="00C5117B" w:rsidRDefault="00C5117B" w:rsidP="00841887">
      <w:r>
        <w:separator/>
      </w:r>
    </w:p>
  </w:endnote>
  <w:endnote w:type="continuationSeparator" w:id="0">
    <w:p w14:paraId="78FF10A1" w14:textId="77777777" w:rsidR="00C5117B" w:rsidRDefault="00C5117B" w:rsidP="0084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93CF" w14:textId="77777777" w:rsidR="00841887" w:rsidRDefault="00841887">
    <w:pPr>
      <w:pStyle w:val="Footer"/>
    </w:pPr>
    <w:r>
      <w:rPr>
        <w:noProof/>
      </w:rPr>
      <mc:AlternateContent>
        <mc:Choice Requires="wps">
          <w:drawing>
            <wp:anchor distT="0" distB="0" distL="114300" distR="114300" simplePos="0" relativeHeight="251657215" behindDoc="0" locked="0" layoutInCell="1" allowOverlap="1" wp14:anchorId="3D5375DB" wp14:editId="45DD27C1">
              <wp:simplePos x="0" y="0"/>
              <wp:positionH relativeFrom="column">
                <wp:posOffset>-923925</wp:posOffset>
              </wp:positionH>
              <wp:positionV relativeFrom="paragraph">
                <wp:posOffset>-248285</wp:posOffset>
              </wp:positionV>
              <wp:extent cx="7762875" cy="857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7628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176771" w14:textId="77777777" w:rsidR="00D66066" w:rsidRPr="002444CF" w:rsidRDefault="00D66066" w:rsidP="00D66066">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Pr>
                              <w:rFonts w:ascii="Gotham-Book" w:hAnsi="Gotham-Book" w:cs="Gotham-Book"/>
                              <w:color w:val="FFFFFF"/>
                              <w:sz w:val="24"/>
                              <w:szCs w:val="24"/>
                            </w:rPr>
                            <w:t>3309 Capitol Blvd. SW</w:t>
                          </w:r>
                          <w:r w:rsidRPr="002444CF">
                            <w:rPr>
                              <w:rFonts w:ascii="Gotham-Book" w:hAnsi="Gotham-Book" w:cs="Gotham-Book"/>
                              <w:color w:val="FFFFFF"/>
                              <w:sz w:val="24"/>
                              <w:szCs w:val="24"/>
                            </w:rPr>
                            <w:t xml:space="preserve">, </w:t>
                          </w:r>
                          <w:r>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p w14:paraId="0248C33D" w14:textId="5C0F3955" w:rsidR="00841887" w:rsidRPr="002908F5" w:rsidRDefault="00841887" w:rsidP="0084188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375DB" id="Rectangle 2" o:spid="_x0000_s1026" style="position:absolute;margin-left:-72.75pt;margin-top:-19.55pt;width:611.25pt;height:67.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" fillcolor="#4f81bd [3204]" strokecolor="#243f60 [1604]" strokeweight="2pt">
              <v:textbox>
                <w:txbxContent>
                  <w:p w14:paraId="4F176771" w14:textId="77777777" w:rsidR="00D66066" w:rsidRPr="002444CF" w:rsidRDefault="00D66066" w:rsidP="00D66066">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Pr>
                        <w:rFonts w:ascii="Gotham-Book" w:hAnsi="Gotham-Book" w:cs="Gotham-Book"/>
                        <w:color w:val="FFFFFF"/>
                        <w:sz w:val="24"/>
                        <w:szCs w:val="24"/>
                      </w:rPr>
                      <w:t>3309 Capitol Blvd. SW</w:t>
                    </w:r>
                    <w:r w:rsidRPr="002444CF">
                      <w:rPr>
                        <w:rFonts w:ascii="Gotham-Book" w:hAnsi="Gotham-Book" w:cs="Gotham-Book"/>
                        <w:color w:val="FFFFFF"/>
                        <w:sz w:val="24"/>
                        <w:szCs w:val="24"/>
                      </w:rPr>
                      <w:t xml:space="preserve">, </w:t>
                    </w:r>
                    <w:r>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p w14:paraId="0248C33D" w14:textId="5C0F3955" w:rsidR="00841887" w:rsidRPr="002908F5" w:rsidRDefault="00841887" w:rsidP="00841887">
                    <w:pPr>
                      <w:jc w:val="center"/>
                      <w:rPr>
                        <w:sz w:val="16"/>
                        <w:szCs w:val="16"/>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997A" w14:textId="77777777" w:rsidR="00DF4F80" w:rsidRDefault="00DF4F80">
    <w:pPr>
      <w:pStyle w:val="Footer"/>
    </w:pPr>
    <w:r>
      <w:rPr>
        <w:noProof/>
      </w:rPr>
      <mc:AlternateContent>
        <mc:Choice Requires="wps">
          <w:drawing>
            <wp:anchor distT="0" distB="0" distL="114300" distR="114300" simplePos="0" relativeHeight="251660288" behindDoc="0" locked="0" layoutInCell="1" allowOverlap="1" wp14:anchorId="11C55D06" wp14:editId="5B8E6F18">
              <wp:simplePos x="0" y="0"/>
              <wp:positionH relativeFrom="column">
                <wp:posOffset>-904875</wp:posOffset>
              </wp:positionH>
              <wp:positionV relativeFrom="paragraph">
                <wp:posOffset>-238760</wp:posOffset>
              </wp:positionV>
              <wp:extent cx="7762875" cy="857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7628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C6A8B" w14:textId="29D0BB77" w:rsidR="00DF4F80" w:rsidRPr="002444CF" w:rsidRDefault="00DF4F80" w:rsidP="00DF4F80">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sidR="00E66AC5">
                            <w:rPr>
                              <w:rFonts w:ascii="Gotham-Book" w:hAnsi="Gotham-Book" w:cs="Gotham-Book"/>
                              <w:color w:val="FFFFFF"/>
                              <w:sz w:val="24"/>
                              <w:szCs w:val="24"/>
                            </w:rPr>
                            <w:t>3309 Capitol Blvd.</w:t>
                          </w:r>
                          <w:r w:rsidR="00D66066">
                            <w:rPr>
                              <w:rFonts w:ascii="Gotham-Book" w:hAnsi="Gotham-Book" w:cs="Gotham-Book"/>
                              <w:color w:val="FFFFFF"/>
                              <w:sz w:val="24"/>
                              <w:szCs w:val="24"/>
                            </w:rPr>
                            <w:t xml:space="preserve"> SW</w:t>
                          </w:r>
                          <w:r w:rsidRPr="002444CF">
                            <w:rPr>
                              <w:rFonts w:ascii="Gotham-Book" w:hAnsi="Gotham-Book" w:cs="Gotham-Book"/>
                              <w:color w:val="FFFFFF"/>
                              <w:sz w:val="24"/>
                              <w:szCs w:val="24"/>
                            </w:rPr>
                            <w:t xml:space="preserve">, </w:t>
                          </w:r>
                          <w:r w:rsidR="00D66066">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55D06" id="Rectangle 5" o:spid="_x0000_s1027" style="position:absolute;margin-left:-71.25pt;margin-top:-18.8pt;width:611.25pt;height: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" fillcolor="#4f81bd [3204]" strokecolor="#243f60 [1604]" strokeweight="2pt">
              <v:textbox>
                <w:txbxContent>
                  <w:p w14:paraId="30FC6A8B" w14:textId="29D0BB77" w:rsidR="00DF4F80" w:rsidRPr="002444CF" w:rsidRDefault="00DF4F80" w:rsidP="00DF4F80">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sidR="00E66AC5">
                      <w:rPr>
                        <w:rFonts w:ascii="Gotham-Book" w:hAnsi="Gotham-Book" w:cs="Gotham-Book"/>
                        <w:color w:val="FFFFFF"/>
                        <w:sz w:val="24"/>
                        <w:szCs w:val="24"/>
                      </w:rPr>
                      <w:t>3309 Capitol Blvd.</w:t>
                    </w:r>
                    <w:r w:rsidR="00D66066">
                      <w:rPr>
                        <w:rFonts w:ascii="Gotham-Book" w:hAnsi="Gotham-Book" w:cs="Gotham-Book"/>
                        <w:color w:val="FFFFFF"/>
                        <w:sz w:val="24"/>
                        <w:szCs w:val="24"/>
                      </w:rPr>
                      <w:t xml:space="preserve"> SW</w:t>
                    </w:r>
                    <w:r w:rsidRPr="002444CF">
                      <w:rPr>
                        <w:rFonts w:ascii="Gotham-Book" w:hAnsi="Gotham-Book" w:cs="Gotham-Book"/>
                        <w:color w:val="FFFFFF"/>
                        <w:sz w:val="24"/>
                        <w:szCs w:val="24"/>
                      </w:rPr>
                      <w:t xml:space="preserve">, </w:t>
                    </w:r>
                    <w:r w:rsidR="00D66066">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A8D4" w14:textId="77777777" w:rsidR="00C5117B" w:rsidRDefault="00C5117B" w:rsidP="00841887">
      <w:r>
        <w:separator/>
      </w:r>
    </w:p>
  </w:footnote>
  <w:footnote w:type="continuationSeparator" w:id="0">
    <w:p w14:paraId="4D31E1A8" w14:textId="77777777" w:rsidR="00C5117B" w:rsidRDefault="00C5117B" w:rsidP="0084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5CBC" w14:textId="77777777" w:rsidR="00DF4F80" w:rsidRDefault="00DF4F80">
    <w:pPr>
      <w:pStyle w:val="Header"/>
    </w:pPr>
    <w:r>
      <w:rPr>
        <w:rFonts w:ascii="Times New Roman" w:hAnsi="Times New Roman"/>
        <w:noProof/>
        <w:sz w:val="24"/>
        <w:szCs w:val="24"/>
      </w:rPr>
      <w:drawing>
        <wp:anchor distT="36576" distB="36576" distL="36576" distR="36576" simplePos="0" relativeHeight="251658240" behindDoc="0" locked="0" layoutInCell="1" allowOverlap="1" wp14:anchorId="504ADEBE" wp14:editId="635011BD">
          <wp:simplePos x="0" y="0"/>
          <wp:positionH relativeFrom="column">
            <wp:posOffset>1586230</wp:posOffset>
          </wp:positionH>
          <wp:positionV relativeFrom="paragraph">
            <wp:posOffset>-292100</wp:posOffset>
          </wp:positionV>
          <wp:extent cx="2783840" cy="1116330"/>
          <wp:effectExtent l="0" t="0" r="0" b="7620"/>
          <wp:wrapNone/>
          <wp:docPr id="1" name="Picture 1" descr="AFH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HC-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111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753F"/>
    <w:multiLevelType w:val="hybridMultilevel"/>
    <w:tmpl w:val="6BB2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D711E"/>
    <w:multiLevelType w:val="hybridMultilevel"/>
    <w:tmpl w:val="311EA014"/>
    <w:lvl w:ilvl="0" w:tplc="D076F4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7"/>
    <w:rsid w:val="00180620"/>
    <w:rsid w:val="001A716C"/>
    <w:rsid w:val="002136EC"/>
    <w:rsid w:val="002340B1"/>
    <w:rsid w:val="002444CF"/>
    <w:rsid w:val="002908F5"/>
    <w:rsid w:val="002B4014"/>
    <w:rsid w:val="003A181D"/>
    <w:rsid w:val="003B6B64"/>
    <w:rsid w:val="005953C9"/>
    <w:rsid w:val="00642D34"/>
    <w:rsid w:val="00755A07"/>
    <w:rsid w:val="007D267D"/>
    <w:rsid w:val="007E5566"/>
    <w:rsid w:val="00841887"/>
    <w:rsid w:val="00884911"/>
    <w:rsid w:val="008B621E"/>
    <w:rsid w:val="008E5BE0"/>
    <w:rsid w:val="009469B4"/>
    <w:rsid w:val="009976F3"/>
    <w:rsid w:val="0099796D"/>
    <w:rsid w:val="009C7AAF"/>
    <w:rsid w:val="009F5BDC"/>
    <w:rsid w:val="00A13BAF"/>
    <w:rsid w:val="00A97492"/>
    <w:rsid w:val="00B114CD"/>
    <w:rsid w:val="00B26D8C"/>
    <w:rsid w:val="00C5117B"/>
    <w:rsid w:val="00C5444E"/>
    <w:rsid w:val="00C92BBB"/>
    <w:rsid w:val="00CB2604"/>
    <w:rsid w:val="00CF5DBE"/>
    <w:rsid w:val="00D020F5"/>
    <w:rsid w:val="00D66066"/>
    <w:rsid w:val="00D71B8F"/>
    <w:rsid w:val="00DE1F37"/>
    <w:rsid w:val="00DF4F80"/>
    <w:rsid w:val="00E66AC5"/>
    <w:rsid w:val="00EA67E9"/>
    <w:rsid w:val="00F5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6CAC"/>
  <w15:docId w15:val="{1C5FA8C0-86F5-437F-BC7D-61A8E14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14"/>
    <w:pPr>
      <w:spacing w:after="0" w:line="240" w:lineRule="auto"/>
    </w:pPr>
    <w:rPr>
      <w:rFonts w:ascii="Calibri" w:hAnsi="Calibri" w:cs="Calibri"/>
    </w:rPr>
  </w:style>
  <w:style w:type="paragraph" w:styleId="Heading1">
    <w:name w:val="heading 1"/>
    <w:basedOn w:val="Normal"/>
    <w:link w:val="Heading1Char"/>
    <w:uiPriority w:val="9"/>
    <w:qFormat/>
    <w:rsid w:val="002B4014"/>
    <w:pPr>
      <w:keepNext/>
      <w:spacing w:before="480" w:line="276"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88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41887"/>
  </w:style>
  <w:style w:type="paragraph" w:styleId="Footer">
    <w:name w:val="footer"/>
    <w:basedOn w:val="Normal"/>
    <w:link w:val="FooterChar"/>
    <w:uiPriority w:val="99"/>
    <w:unhideWhenUsed/>
    <w:rsid w:val="0084188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41887"/>
  </w:style>
  <w:style w:type="paragraph" w:styleId="BalloonText">
    <w:name w:val="Balloon Text"/>
    <w:basedOn w:val="Normal"/>
    <w:link w:val="BalloonTextChar"/>
    <w:uiPriority w:val="99"/>
    <w:semiHidden/>
    <w:unhideWhenUsed/>
    <w:rsid w:val="00841887"/>
    <w:rPr>
      <w:rFonts w:ascii="Tahoma" w:hAnsi="Tahoma" w:cs="Tahoma"/>
      <w:sz w:val="16"/>
      <w:szCs w:val="16"/>
    </w:rPr>
  </w:style>
  <w:style w:type="character" w:customStyle="1" w:styleId="BalloonTextChar">
    <w:name w:val="Balloon Text Char"/>
    <w:basedOn w:val="DefaultParagraphFont"/>
    <w:link w:val="BalloonText"/>
    <w:uiPriority w:val="99"/>
    <w:semiHidden/>
    <w:rsid w:val="00841887"/>
    <w:rPr>
      <w:rFonts w:ascii="Tahoma" w:hAnsi="Tahoma" w:cs="Tahoma"/>
      <w:sz w:val="16"/>
      <w:szCs w:val="16"/>
    </w:rPr>
  </w:style>
  <w:style w:type="paragraph" w:styleId="ListParagraph">
    <w:name w:val="List Paragraph"/>
    <w:basedOn w:val="Normal"/>
    <w:uiPriority w:val="34"/>
    <w:qFormat/>
    <w:rsid w:val="002444CF"/>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2B4014"/>
    <w:rPr>
      <w:rFonts w:ascii="Cambria" w:hAnsi="Cambria" w:cs="Times New Roman"/>
      <w:b/>
      <w:bCs/>
      <w:color w:val="365F91"/>
      <w:kern w:val="36"/>
      <w:sz w:val="28"/>
      <w:szCs w:val="28"/>
    </w:rPr>
  </w:style>
  <w:style w:type="character" w:styleId="Hyperlink">
    <w:name w:val="Hyperlink"/>
    <w:basedOn w:val="DefaultParagraphFont"/>
    <w:uiPriority w:val="99"/>
    <w:unhideWhenUsed/>
    <w:rsid w:val="002B4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30A.22.040" TargetMode="External"/><Relationship Id="rId13" Type="http://schemas.openxmlformats.org/officeDocument/2006/relationships/hyperlink" Target="http://app.leg.wa.gov/RCW/default.aspx?cite=70.129.1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70.129.1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70.129.1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p.leg.wa.gov/RCW/default.aspx?cite=30.22.0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leg.wa.gov/RCW/default.aspx?cite=70.129.040" TargetMode="External"/><Relationship Id="rId14" Type="http://schemas.openxmlformats.org/officeDocument/2006/relationships/hyperlink" Target="http://app.leg.wa.gov/RCW/default.aspx?cite=19.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EF9A-AF87-4F2D-A609-1AE691FB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WSRCC-JOHN</dc:creator>
  <cp:lastModifiedBy>Karen Cordero</cp:lastModifiedBy>
  <cp:revision>3</cp:revision>
  <cp:lastPrinted>2018-04-06T17:55:00Z</cp:lastPrinted>
  <dcterms:created xsi:type="dcterms:W3CDTF">2021-09-20T19:51:00Z</dcterms:created>
  <dcterms:modified xsi:type="dcterms:W3CDTF">2021-10-13T18:11:00Z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-1242618661</vt:i4>
  </property>
</Properties>
</file>